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55999" cy="1655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司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5999" cy="1655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Times New Roman" w:hAnsi="Times New Roman" w:eastAsia="微软雅黑"/>
          <w:b/>
          <w:color w:val="2B3542"/>
          <w:sz w:val="52"/>
        </w:rPr>
        <w:t>NFM 防火墙策略分析平台</w:t>
      </w:r>
    </w:p>
    <w:p>
      <w:pPr>
        <w:spacing w:before="120"/>
        <w:jc w:val="center"/>
      </w:pPr>
      <w:r>
        <w:rPr>
          <w:rFonts w:ascii="Times New Roman" w:hAnsi="Times New Roman" w:eastAsia="微软雅黑"/>
          <w:b/>
          <w:color w:val="1B9EA8"/>
          <w:sz w:val="40"/>
        </w:rPr>
        <w:t>用 户 白 皮 书</w:t>
      </w:r>
    </w:p>
    <w:p>
      <w:pPr>
        <w:spacing w:before="600"/>
        <w:jc w:val="center"/>
      </w:pPr>
      <w:r>
        <w:rPr>
          <w:rFonts w:ascii="Times New Roman" w:hAnsi="Times New Roman" w:eastAsia="微软雅黑"/>
          <w:b w:val="0"/>
          <w:color w:val="595959"/>
          <w:sz w:val="24"/>
        </w:rPr>
        <w:t>集中梳理策略关系 · 识别风险线索 · 辅助安全策略持续治理</w:t>
      </w:r>
    </w:p>
    <w:p/>
    <w:p/>
    <w:p/>
    <w:p/>
    <w:p/>
    <w:p/>
    <w:p>
      <w:pPr>
        <w:jc w:val="center"/>
      </w:pPr>
      <w:r>
        <w:rPr>
          <w:rFonts w:ascii="Times New Roman" w:hAnsi="Times New Roman" w:eastAsia="微软雅黑"/>
          <w:b/>
          <w:color w:val="2B3542"/>
          <w:sz w:val="26"/>
        </w:rPr>
        <w:t>北京智维盈讯网络科技有限公司（智维数据）</w:t>
      </w:r>
    </w:p>
    <w:p>
      <w:pPr>
        <w:spacing w:before="120"/>
        <w:jc w:val="center"/>
      </w:pPr>
      <w:r>
        <w:rPr>
          <w:rFonts w:ascii="Times New Roman" w:hAnsi="Times New Roman" w:eastAsia="微软雅黑"/>
          <w:b w:val="0"/>
          <w:color w:val="595959"/>
          <w:sz w:val="22"/>
        </w:rPr>
        <w:t>2026 年 10 月</w:t>
      </w:r>
    </w:p>
    <w:p>
      <w:r>
        <w:br w:type="page"/>
      </w:r>
    </w:p>
    <w:p>
      <w:pPr>
        <w:pStyle w:val="Heading1"/>
      </w:pPr>
      <w:r>
        <w:t>文档说明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66"/>
        <w:gridCol w:w="4366"/>
      </w:tblGrid>
      <w:tr>
        <w:tc>
          <w:tcPr>
            <w:tcW w:type="dxa" w:w="1984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6803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内容</w:t>
            </w:r>
          </w:p>
        </w:tc>
      </w:tr>
      <w:tr>
        <w:tc>
          <w:tcPr>
            <w:tcW w:type="dxa" w:w="198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文档名称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NFM 防火墙策略分析平台用户白皮书</w:t>
            </w:r>
          </w:p>
        </w:tc>
      </w:tr>
      <w:tr>
        <w:tc>
          <w:tcPr>
            <w:tcW w:type="dxa" w:w="198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文档版本</w:t>
            </w:r>
          </w:p>
        </w:tc>
        <w:tc>
          <w:tcPr>
            <w:tcW w:type="dxa" w:w="680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V1.0</w:t>
            </w:r>
          </w:p>
        </w:tc>
      </w:tr>
      <w:tr>
        <w:tc>
          <w:tcPr>
            <w:tcW w:type="dxa" w:w="198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发布日期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 年 10 月</w:t>
            </w:r>
          </w:p>
        </w:tc>
      </w:tr>
      <w:tr>
        <w:tc>
          <w:tcPr>
            <w:tcW w:type="dxa" w:w="198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编制单位</w:t>
            </w:r>
          </w:p>
        </w:tc>
        <w:tc>
          <w:tcPr>
            <w:tcW w:type="dxa" w:w="680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北京智维盈讯网络科技有限公司（智维数据）</w:t>
            </w:r>
          </w:p>
        </w:tc>
      </w:tr>
      <w:tr>
        <w:tc>
          <w:tcPr>
            <w:tcW w:type="dxa" w:w="198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适用产品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NFM 防火墙策略分析平台（nCompass 系列）</w:t>
            </w:r>
          </w:p>
        </w:tc>
      </w:tr>
      <w:tr>
        <w:tc>
          <w:tcPr>
            <w:tcW w:type="dxa" w:w="198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文档密级</w:t>
            </w:r>
          </w:p>
        </w:tc>
        <w:tc>
          <w:tcPr>
            <w:tcW w:type="dxa" w:w="680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公开</w:t>
            </w:r>
          </w:p>
        </w:tc>
      </w:tr>
    </w:tbl>
    <w:p>
      <w:pPr>
        <w:spacing w:after="40"/>
      </w:pPr>
    </w:p>
    <w:p>
      <w:pPr>
        <w:spacing w:after="200"/>
        <w:ind w:firstLine="440"/>
      </w:pPr>
      <w:r>
        <w:rPr>
          <w:rFonts w:ascii="Times New Roman" w:hAnsi="Times New Roman" w:eastAsia="宋体"/>
          <w:b w:val="0"/>
          <w:color w:val="595959"/>
          <w:sz w:val="18"/>
        </w:rPr>
        <w:t>版权声明：本文档版权归北京智维盈讯网络科技有限公司所有。本文档内容仅供参考，产品功能以实际交付版本为准。未经本公司书面许可，任何单位或个人不得复制、传播或用于其他商业用途。</w:t>
      </w:r>
    </w:p>
    <w:p>
      <w:pPr>
        <w:pStyle w:val="Heading1"/>
      </w:pPr>
      <w:r>
        <w:t>摘  要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随着企业业务持续扩展，防火墙安全策略不断累积，宽泛策略、无效策略、高危端口暴露、配置与业务脱节等问题日益突出，传统依赖人工的管理方式难以满足安全运营与等保 2.0 合规要求。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NFM 防火墙策略分析平台由智维数据自主研发，采用旁路部署方式，联合防火墙配置、镜像流量与域名解析信息，对多品牌防火墙策略进行统一采集、关联分析与风险识别，实现源目访问路径审计、策略命中实时监控、问题策略自动排查、风险核查与统计报告等能力，让策略查询、优化与风险核查均有真实访问证据，帮助企业构建“可查询、可核查、可收敛、可交付”的安全策略持续治理体系。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本文系统阐述产品的设计背景、产品价值、工作原理、核心能力体系、典型应用场景与使用方式，为用户规划与落地防火墙策略治理提供参考。</w:t>
      </w:r>
    </w:p>
    <w:p>
      <w:pPr>
        <w:spacing w:after="200"/>
      </w:pPr>
      <w:r>
        <w:rPr>
          <w:rFonts w:ascii="Times New Roman" w:hAnsi="Times New Roman" w:eastAsia="宋体"/>
          <w:b w:val="0"/>
          <w:color w:val="595959"/>
          <w:sz w:val="20"/>
        </w:rPr>
        <w:t>关键词：防火墙策略分析、策略可视化、策略收敛、风险核查、等保合规、访问路径审计</w:t>
      </w:r>
    </w:p>
    <w:p>
      <w:pPr>
        <w:pStyle w:val="Heading1"/>
      </w:pPr>
      <w:r>
        <w:t>目  录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一、前言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1.1 概述与目的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1.2 背景与挑战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1.3 合规驱动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二、产品概述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2.1 产品定位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2.2 产品价值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2.3 产品特点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三、工作原理与数据接入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3.1 分析链路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3.2 数据接入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四、核心能力体系与功能详解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4.1 能力全景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4.2 功能模块详解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五、多厂商统一治理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六、典型应用场景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6.1 重点场景：源目访问路径审计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6.2 行业实践场景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七、产品使用入门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7.1 平台访问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7.2 使用前提</w:t>
      </w:r>
    </w:p>
    <w:p>
      <w:pPr>
        <w:spacing w:after="20"/>
        <w:ind w:left="440"/>
      </w:pPr>
      <w:r>
        <w:rPr>
          <w:rFonts w:ascii="Times New Roman" w:hAnsi="Times New Roman" w:eastAsia="宋体"/>
          <w:b w:val="0"/>
          <w:sz w:val="21"/>
        </w:rPr>
        <w:t>7.3 功能入口概览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八、术语与指标说明</w:t>
      </w:r>
    </w:p>
    <w:p>
      <w:pPr>
        <w:spacing w:after="20"/>
      </w:pPr>
      <w:r>
        <w:rPr>
          <w:rFonts w:ascii="Times New Roman" w:hAnsi="Times New Roman" w:eastAsia="微软雅黑"/>
          <w:b/>
          <w:color w:val="2B3542"/>
          <w:sz w:val="23"/>
        </w:rPr>
        <w:t>九、关于智维数据</w:t>
      </w:r>
    </w:p>
    <w:p>
      <w:r>
        <w:br w:type="page"/>
      </w:r>
    </w:p>
    <w:p>
      <w:pPr>
        <w:pStyle w:val="Heading1"/>
      </w:pPr>
      <w:r>
        <w:t>一、前言</w:t>
      </w:r>
    </w:p>
    <w:p>
      <w:pPr>
        <w:pStyle w:val="Heading2"/>
      </w:pPr>
      <w:r>
        <w:t>1.1 概述与目的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防火墙是网络边界安全的核心防线，安全策略则是这道防线的具体规则。随着业务不断增长，安全策略持续增多，管理及维护难度不断增大，策略治理已成为安全运营中的重要课题。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本文档面向防火墙运维人员、网络安全管理人员及信息化决策者，系统介绍 NFM 防火墙策略分析平台的产品背景、产品价值、技术原理、核心能力体系与典型应用场景，帮助读者全面了解产品，为防火墙策略治理工作的规划、实施与持续运营提供参考。</w:t>
      </w:r>
    </w:p>
    <w:p>
      <w:pPr>
        <w:pStyle w:val="Heading2"/>
      </w:pPr>
      <w:r>
        <w:t>1.2 背景与挑战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在防火墙的日常管理与运维中，策略越积越多，真正影响业务与安全的规则却越来越难判断。用户普遍面临以下六大挑战：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680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1814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挑战</w:t>
            </w:r>
          </w:p>
        </w:tc>
        <w:tc>
          <w:tcPr>
            <w:tcW w:type="dxa" w:w="6293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具体表现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宽泛策略难收紧</w:t>
            </w:r>
          </w:p>
        </w:tc>
        <w:tc>
          <w:tcPr>
            <w:tcW w:type="dxa" w:w="629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因历史原因或临时开通需要，部分策略的源/目的地址使用大网段甚至任意地址、端口使用全端口范围。此类配置违反安全规范，但缺乏真实命中依据，运维人员难以确定收敛范围。</w:t>
            </w:r>
          </w:p>
        </w:tc>
      </w:tr>
      <w:tr>
        <w:tc>
          <w:tcPr>
            <w:tcW w:type="dxa" w:w="68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81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无效规则难清理</w:t>
            </w:r>
          </w:p>
        </w:tc>
        <w:tc>
          <w:tcPr>
            <w:tcW w:type="dxa" w:w="629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重复、被包含、冲突、停用与长期未命中的规则混杂，人工逐条核查工作量大、效率低，且不满足等保 2.0 访问控制规则数量最小化要求。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配置与业务脱节</w:t>
            </w:r>
          </w:p>
        </w:tc>
        <w:tc>
          <w:tcPr>
            <w:tcW w:type="dxa" w:w="629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仅查看配置无法确认规则是否仍承载业务，难以区分“存在命中”与“存在有效业务载荷”，业务下线后的策略无法确认可否删除。</w:t>
            </w:r>
          </w:p>
        </w:tc>
      </w:tr>
      <w:tr>
        <w:tc>
          <w:tcPr>
            <w:tcW w:type="dxa" w:w="68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81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动态域名难核查</w:t>
            </w:r>
          </w:p>
        </w:tc>
        <w:tc>
          <w:tcPr>
            <w:tcW w:type="dxa" w:w="629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策略中的域名对应 IP 持续变化，静态对象无法完整反映实际访问范围与策略使用情况。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变更差异难比对</w:t>
            </w:r>
          </w:p>
        </w:tc>
        <w:tc>
          <w:tcPr>
            <w:tcW w:type="dxa" w:w="629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主备切换、设备迁移或策略调整前后的差异依赖人工核对，策略缺失、顺序变化与对象变化容易遗漏。</w:t>
            </w:r>
          </w:p>
        </w:tc>
      </w:tr>
      <w:tr>
        <w:tc>
          <w:tcPr>
            <w:tcW w:type="dxa" w:w="68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81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故障边界难确认</w:t>
            </w:r>
          </w:p>
        </w:tc>
        <w:tc>
          <w:tcPr>
            <w:tcW w:type="dxa" w:w="629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NAT 与墙前墙后流量不易对应，访问中断时难以快速判断问题由策略阻断还是设备故障引起。</w:t>
            </w:r>
          </w:p>
        </w:tc>
      </w:tr>
    </w:tbl>
    <w:p>
      <w:pPr>
        <w:spacing w:after="40"/>
      </w:pP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此外，日常运维中还存在通讯对开通情况检查繁琐、高危端口缺乏审核手段、误定义对象排查困难等具体问题，亟需平台化的分析手段支撑。</w:t>
      </w:r>
    </w:p>
    <w:p>
      <w:pPr>
        <w:pStyle w:val="Heading2"/>
      </w:pPr>
      <w:r>
        <w:t>1.3 合规驱动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等保 2.0 对访问控制提出了明确要求：应及时删除无效策略、实现访问控制规则数量最小化、对宽泛策略进行收敛、对高危端口与违规配置进行核查。传统人工方式难以持续满足上述要求，需要以真实访问证据为基础，建立自动化、可持续的策略治理机制。</w:t>
      </w:r>
    </w:p>
    <w:p>
      <w:pPr>
        <w:pStyle w:val="Heading1"/>
      </w:pPr>
      <w:r>
        <w:t>二、产品概述</w:t>
      </w:r>
    </w:p>
    <w:p>
      <w:pPr>
        <w:pStyle w:val="Heading2"/>
      </w:pPr>
      <w:r>
        <w:t>2.1 产品定位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NFM 防火墙策略分析平台（nCompass 系列）是智维数据推出的安全策略数据与治理产品。平台对防火墙策略进行统一采集、关联分析和风险识别，集中梳理策略关系，识别风险线索，辅助安全策略持续治理，使策略现状、问题与治理动作更加清晰。</w:t>
      </w:r>
    </w:p>
    <w:p>
      <w:pPr>
        <w:pStyle w:val="Heading2"/>
      </w:pPr>
      <w:r>
        <w:t>2.2 产品价值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平台让策略查询、优化与风险核查都有真实访问证据：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策略收敛更准确：</w:t>
      </w:r>
      <w:r>
        <w:rPr>
          <w:rFonts w:ascii="Times New Roman" w:hAnsi="Times New Roman" w:eastAsia="宋体"/>
          <w:b w:val="0"/>
          <w:sz w:val="22"/>
        </w:rPr>
        <w:t>根据真实命中的地址、端口和具体域名识别宽泛规则，为访问范围收紧提供可核查依据，策略收敛更准确。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动态域名可核查：</w:t>
      </w:r>
      <w:r>
        <w:rPr>
          <w:rFonts w:ascii="Times New Roman" w:hAnsi="Times New Roman" w:eastAsia="宋体"/>
          <w:b w:val="0"/>
          <w:sz w:val="22"/>
        </w:rPr>
        <w:t>关联 DNS 解析与实际流量，持续还原域名和动态 IP 的对应关系，减少仅看静态配置带来的判断偏差。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访问与策略双向追溯：</w:t>
      </w:r>
      <w:r>
        <w:rPr>
          <w:rFonts w:ascii="Times New Roman" w:hAnsi="Times New Roman" w:eastAsia="宋体"/>
          <w:b w:val="0"/>
          <w:sz w:val="22"/>
        </w:rPr>
        <w:t>既可从访问对象查询策略是否开通、由哪条规则放行，也可从策略查看命中流量与对象引用；关联资产信息后，还可辅助确认资产归属。</w:t>
      </w:r>
    </w:p>
    <w:p>
      <w:pPr>
        <w:pStyle w:val="Heading2"/>
      </w:pPr>
      <w:r>
        <w:t>2.3 产品特点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旁路部署、零影响：</w:t>
      </w:r>
      <w:r>
        <w:rPr>
          <w:rFonts w:ascii="Times New Roman" w:hAnsi="Times New Roman" w:eastAsia="宋体"/>
          <w:b w:val="0"/>
          <w:sz w:val="22"/>
        </w:rPr>
        <w:t>7×24 小时旁路采集防火墙前后交换机的流量和配置，对现有网络、应用不产生任何影响。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策略集中管理：</w:t>
      </w:r>
      <w:r>
        <w:rPr>
          <w:rFonts w:ascii="Times New Roman" w:hAnsi="Times New Roman" w:eastAsia="宋体"/>
          <w:b w:val="0"/>
          <w:sz w:val="22"/>
        </w:rPr>
        <w:t>自定义周期采集防火墙策略，集中展示所有防火墙的安全策略及命中次数，以高可读性的方式解析展示，支持策略查询自服务。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问题策略自动排查：</w:t>
      </w:r>
      <w:r>
        <w:rPr>
          <w:rFonts w:ascii="Times New Roman" w:hAnsi="Times New Roman" w:eastAsia="宋体"/>
          <w:b w:val="0"/>
          <w:sz w:val="22"/>
        </w:rPr>
        <w:t>自动识别无效策略、宽泛策略、无业务策略与误定义对象，结合流量展示命中通讯对与流量变化，辅助收敛与清理。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风险策略核查：</w:t>
      </w:r>
      <w:r>
        <w:rPr>
          <w:rFonts w:ascii="Times New Roman" w:hAnsi="Times New Roman" w:eastAsia="宋体"/>
          <w:b w:val="0"/>
          <w:sz w:val="22"/>
        </w:rPr>
        <w:t>对高危端口策略、违规定义策略主动分析并提供流量证据，统计异常跨区访问通讯对，支撑风险研判。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多厂商统一治理：</w:t>
      </w:r>
      <w:r>
        <w:rPr>
          <w:rFonts w:ascii="Times New Roman" w:hAnsi="Times New Roman" w:eastAsia="宋体"/>
          <w:b w:val="0"/>
          <w:sz w:val="22"/>
        </w:rPr>
        <w:t>统一采集、解析与呈现异构品牌设备策略，在同一平台完成查询、审计与治理。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报告与闭环交付：</w:t>
      </w:r>
      <w:r>
        <w:rPr>
          <w:rFonts w:ascii="Times New Roman" w:hAnsi="Times New Roman" w:eastAsia="宋体"/>
          <w:b w:val="0"/>
          <w:sz w:val="22"/>
        </w:rPr>
        <w:t>治理结果可导出为 Excel/PDF 报告并支持周期生成；问题策略可生成待确认的策略文本，支持差异对比，形成治理闭环。</w:t>
      </w:r>
    </w:p>
    <w:p>
      <w:pPr>
        <w:pStyle w:val="Heading1"/>
      </w:pPr>
      <w:r>
        <w:t>三、工作原理与数据接入</w:t>
      </w:r>
    </w:p>
    <w:p>
      <w:pPr>
        <w:pStyle w:val="Heading2"/>
      </w:pPr>
      <w:r>
        <w:t>3.1 分析链路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平台联合配置、镜像流量与域名信息，还原策略的真实使用情况，分析链路分为四个环节：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680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步骤</w:t>
            </w:r>
          </w:p>
        </w:tc>
        <w:tc>
          <w:tcPr>
            <w:tcW w:type="dxa" w:w="1814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环节</w:t>
            </w:r>
          </w:p>
        </w:tc>
        <w:tc>
          <w:tcPr>
            <w:tcW w:type="dxa" w:w="6293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采集并解析配置</w:t>
            </w:r>
          </w:p>
        </w:tc>
        <w:tc>
          <w:tcPr>
            <w:tcW w:type="dxa" w:w="629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接入防火墙配置、墙前墙后流量及 DNS 响应，将不同设备中的策略、对象和 NAT 关系整理为统一分析视图。</w:t>
            </w:r>
          </w:p>
        </w:tc>
      </w:tr>
      <w:tr>
        <w:tc>
          <w:tcPr>
            <w:tcW w:type="dxa" w:w="68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81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还原访问对象</w:t>
            </w:r>
          </w:p>
        </w:tc>
        <w:tc>
          <w:tcPr>
            <w:tcW w:type="dxa" w:w="629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缝合 NAT 前后会话，维护域名与 IP 动态映射，并结合 SNI 或 Host 信息辅助确认实际访问域名。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匹配命中与风险</w:t>
            </w:r>
          </w:p>
        </w:tc>
        <w:tc>
          <w:tcPr>
            <w:tcW w:type="dxa" w:w="6293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区分命中、未命中和被拒绝的访问，将其与地址、端口、安全域、对象引用及具体规则关联，识别宽泛、无效和合规风险。</w:t>
            </w:r>
          </w:p>
        </w:tc>
      </w:tr>
      <w:tr>
        <w:tc>
          <w:tcPr>
            <w:tcW w:type="dxa" w:w="68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81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形成治理闭环</w:t>
            </w:r>
          </w:p>
        </w:tc>
        <w:tc>
          <w:tcPr>
            <w:tcW w:type="dxa" w:w="6293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保留策略原文、格式化结果、流量明细和分析建议，可将问题策略生成待确认的策略文本，支持差异对比、导出与周期报告。</w:t>
            </w:r>
          </w:p>
        </w:tc>
      </w:tr>
    </w:tbl>
    <w:p>
      <w:pPr>
        <w:spacing w:after="40"/>
      </w:pPr>
    </w:p>
    <w:p>
      <w:pPr>
        <w:pStyle w:val="Heading2"/>
      </w:pPr>
      <w:r>
        <w:t>3.2 数据接入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定时采集防火墙策略配置，解析策略及地址、服务、时间对象与 NAT 规则。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对防火墙前后交换机流量进行镜像采集，用于命中分析、流量明细与异常行为识别。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采集 DNS 响应，维护域名与动态 IP 的对应关系，并结合 TLS SNI 与 HTTP Host 信息识别实际访问域名。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可选对接资产信息库（CMDB），用于 IP 资产归属与业务信息检索；不对接不影响核心分析功能。</w:t>
      </w:r>
    </w:p>
    <w:p>
      <w:pPr>
        <w:pStyle w:val="Heading1"/>
      </w:pPr>
      <w:r>
        <w:t>四、核心能力体系与功能详解</w:t>
      </w:r>
    </w:p>
    <w:p>
      <w:pPr>
        <w:pStyle w:val="Heading2"/>
      </w:pPr>
      <w:r>
        <w:t>4.1 能力全景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平台从路径核查、策略收敛到文本生成，完整覆盖查询、分析、整改与持续治理四大环节，形成 16 项核心能力：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1474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能力域</w:t>
            </w:r>
          </w:p>
        </w:tc>
        <w:tc>
          <w:tcPr>
            <w:tcW w:type="dxa" w:w="2041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能力项</w:t>
            </w:r>
          </w:p>
        </w:tc>
        <w:tc>
          <w:tcPr>
            <w:tcW w:type="dxa" w:w="5272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能力说明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 策略治理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 宽泛策略收敛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根据实际命中流量识别配置范围过大的规则，提供通信对象明细，辅助收紧地址与端口范围。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 策略治理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 无效策略分析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识别重复、被包含、停用、冲突和可合并策略，给出对应的清理或合并建议。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 策略治理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 未命中与无业务分析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按周期核查策略命中情况，结合业务载荷区分“有命中但无业务数据”和长期未命中规则。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 策略治理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访问合规与高危端口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按自定义规则发现违规配置和高危端口暴露线索，并结合真实访问行为持续核查。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② 流量与证据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 NAT 会话缝合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关联地址转换前后的流量会话，恢复策略、访问对象与业务通信之间的对应关系。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② 流量与证据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 前后流量对比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对比防火墙前后的关键流量指标，辅助识别访问异常并缩小故障排查范围。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② 流量与证据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 问题策略整改报告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按问题类型设置过滤条件、导出字段与执行周期，形成风险分析、安全矩阵和整改报告。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② 流量与证据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 对象与调用关系分析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核查地址、服务和时间对象的定义，展示对象原文及其调用策略，辅助定位误定义和冗余对象。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③ 查询与归因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 域名与 IP 动态映射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从 DNS 响应维护具体域名与 IP 的动态关系，支持 CNAME、泛域名及一域多 IP 的访问分析。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③ 查询与归因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 域名访问归因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结合 DNS 映射、TLS SNI 与 HTTP Host 信息识别实际访问域名，无法唯一归因的结果保留核查标记。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③ 查询与归因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 策略命中实时监控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持续区分命中、未命中、被拒绝及非目标防火墙流量，支持按时间和访问条件查看趋势与明细。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③ 查询与归因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 集中查询与证据联查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按安全域、地址、端口、协议、动作和状态查询策略，并联查策略原文、格式化配置、NAT 关系与流量明细。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④ 审计与交付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 策略差异对比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对比两份策略配置，识别策略缺失、配置差异和顺序差异，辅助主备一致性检查与变更复核。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④ 审计与交付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 安全矩阵与例外管理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按网络区域核查跨区访问规则，通过白名单保留已确认例外，例外策略变化时提供复核线索。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④ 审计与交付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 源目访问路径审计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输入源、目的地址或从业务系统选择对象，自动梳理访问经过的防火墙与命中策略，标记已开通、未开通及待核查节点。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④ 审计与交付</w:t>
            </w:r>
          </w:p>
        </w:tc>
        <w:tc>
          <w:tcPr>
            <w:tcW w:type="dxa" w:w="204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 问题策略文本生成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结合问题类型、访问对象和目标设备语法，生成可交付用户复核的策略文本，减少人工整理。</w:t>
            </w:r>
          </w:p>
        </w:tc>
      </w:tr>
    </w:tbl>
    <w:p>
      <w:pPr>
        <w:spacing w:after="40"/>
      </w:pPr>
    </w:p>
    <w:p>
      <w:pPr>
        <w:pStyle w:val="Heading2"/>
      </w:pPr>
      <w:r>
        <w:t>4.2 功能模块详解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平台功能按实时监控、策略查询、策略优化、风险核查、统计报告五大模块组织：</w:t>
      </w:r>
    </w:p>
    <w:p>
      <w:pPr>
        <w:pStyle w:val="Heading3"/>
      </w:pPr>
      <w:r>
        <w:t>4.2.1 实时监控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监控中心：</w:t>
      </w:r>
      <w:r>
        <w:rPr>
          <w:rFonts w:ascii="Times New Roman" w:hAnsi="Times New Roman" w:eastAsia="宋体"/>
          <w:b w:val="0"/>
          <w:sz w:val="22"/>
        </w:rPr>
        <w:t>同时具备分析防火墙流量和策略配置的能力，对命中策略、未命中策略、策略 Deny、非防火墙四类数据流进行监控；并基于问题策略占比对每台防火墙评分，问题策略越少评分越高。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设备概览：</w:t>
      </w:r>
      <w:r>
        <w:rPr>
          <w:rFonts w:ascii="Times New Roman" w:hAnsi="Times New Roman" w:eastAsia="宋体"/>
          <w:b w:val="0"/>
          <w:sz w:val="22"/>
        </w:rPr>
        <w:t>集中展示防火墙评分、策略总数、异常策略总数、异常对象总数及配置时间，支持按防火墙、所属厂商、所在区域、主备墙检索，并可下钻查看设备详情、安全策略分析与对象分析。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流量监控：</w:t>
      </w:r>
      <w:r>
        <w:rPr>
          <w:rFonts w:ascii="Times New Roman" w:hAnsi="Times New Roman" w:eastAsia="宋体"/>
          <w:b w:val="0"/>
          <w:sz w:val="22"/>
        </w:rPr>
        <w:t>以柱状图呈现四类数据流的变化趋势（命中、未命中、策略禁止、无关），以列表呈现数据流明细；支持按接口、VLAN、防火墙、策略名称、源/目的 IP、源/目的端口、协议等条件检索，支持自定义时间范围、列自定义与 Excel 导出；点击 IP 可查看资产信息，点击策略名称可查看策略原文、格式化策略与格式化 NAT 规则。</w:t>
      </w:r>
    </w:p>
    <w:p>
      <w:pPr>
        <w:pStyle w:val="Heading3"/>
      </w:pPr>
      <w:r>
        <w:t>4.2.2 策略查询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策略查询：</w:t>
      </w:r>
      <w:r>
        <w:rPr>
          <w:rFonts w:ascii="Times New Roman" w:hAnsi="Times New Roman" w:eastAsia="宋体"/>
          <w:b w:val="0"/>
          <w:sz w:val="22"/>
        </w:rPr>
        <w:t>对解析后的防火墙策略进行集中展示与开通情况查询。支持防火墙（名称/区域/标签）、策略名称/ID、源/目的安全域、源/目的 IP（掩码、范围、单地址及其与或组合）、端口、源/目的域名、协议、动作、策略状态、过期时间、地址/服务对象名、会话超时、源/目的 IP 数量、端口数量及业务信息等多维条件检索；策略列表展示命中次数、最新命中时间与总流量，可查看策略原文、格式化信息、NAT 格式化与流量明细，并支持导出。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NAT 转换：</w:t>
      </w:r>
      <w:r>
        <w:rPr>
          <w:rFonts w:ascii="Times New Roman" w:hAnsi="Times New Roman" w:eastAsia="宋体"/>
          <w:b w:val="0"/>
          <w:sz w:val="22"/>
        </w:rPr>
        <w:t>集中展示存在 NAT 规则的策略及引用 NAT 规则的策略数量，支持按转换类型（SNAT/DNAT）、启用状态及转换前后源/目的地址、端口检索，可查看引用每条 NAT 规则的具体策略。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策略对比：</w:t>
      </w:r>
      <w:r>
        <w:rPr>
          <w:rFonts w:ascii="Times New Roman" w:hAnsi="Times New Roman" w:eastAsia="宋体"/>
          <w:b w:val="0"/>
          <w:sz w:val="22"/>
        </w:rPr>
        <w:t>将两份策略配置进行差异化对比（可选择已接入配置或上传配置文件），差异类型覆盖策略缺失、配置差异、序号差异；支持双列联动查看原文与格式化信息，适用于主备一致性对比与跨厂商迁移复核。</w:t>
      </w:r>
    </w:p>
    <w:p>
      <w:pPr>
        <w:pStyle w:val="Heading3"/>
      </w:pPr>
      <w:r>
        <w:t>4.2.3 策略优化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无效策略：</w:t>
      </w:r>
      <w:r>
        <w:rPr>
          <w:rFonts w:ascii="Times New Roman" w:hAnsi="Times New Roman" w:eastAsia="宋体"/>
          <w:b w:val="0"/>
          <w:sz w:val="22"/>
        </w:rPr>
        <w:t>自动梳理无效策略并给出优化建议，覆盖重复策略、被包含策略、可合并策略、停用策略、冲突策略五种类型，支持查看策略详情、流量与资产相关信息，并可导出。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宽泛策略：</w:t>
      </w:r>
      <w:r>
        <w:rPr>
          <w:rFonts w:ascii="Times New Roman" w:hAnsi="Times New Roman" w:eastAsia="宋体"/>
          <w:b w:val="0"/>
          <w:sz w:val="22"/>
        </w:rPr>
        <w:t>自动梳理配置范围过大的策略，给出需要收敛的 IP 与端口明细、操作建议与风险说明；支持样本标记，标记为不收敛的策略进入白名单；可查看流量明细及收敛建议。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无业务策略：</w:t>
      </w:r>
      <w:r>
        <w:rPr>
          <w:rFonts w:ascii="Times New Roman" w:hAnsi="Times New Roman" w:eastAsia="宋体"/>
          <w:b w:val="0"/>
          <w:sz w:val="22"/>
        </w:rPr>
        <w:t>排查长期无流量命中的未命中策略，以及有命中但无有效业务数据传输的无业务策略，为业务下线后的策略清理提供依据。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策略合并：</w:t>
      </w:r>
      <w:r>
        <w:rPr>
          <w:rFonts w:ascii="Times New Roman" w:hAnsi="Times New Roman" w:eastAsia="宋体"/>
          <w:b w:val="0"/>
          <w:sz w:val="22"/>
        </w:rPr>
        <w:t>对可合并策略进行自动梳理，给出合并建议与相关策略信息，辅助策略精简。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对象分析：</w:t>
      </w:r>
      <w:r>
        <w:rPr>
          <w:rFonts w:ascii="Times New Roman" w:hAnsi="Times New Roman" w:eastAsia="宋体"/>
          <w:b w:val="0"/>
          <w:sz w:val="22"/>
        </w:rPr>
        <w:t>排查地址名称、应用名称与实际内容不符的误定义对象（地址对象、服务对象、时间对象），展示对象原文及调用策略，支持样本标记管理。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配置错误检查：</w:t>
      </w:r>
      <w:r>
        <w:rPr>
          <w:rFonts w:ascii="Times New Roman" w:hAnsi="Times New Roman" w:eastAsia="宋体"/>
          <w:b w:val="0"/>
          <w:sz w:val="22"/>
        </w:rPr>
        <w:t>按防火墙厂商、型号、系统版本对策略文本进行名称、IP 等配置错误排查，降低人工梳理成本。</w:t>
      </w:r>
    </w:p>
    <w:p>
      <w:pPr>
        <w:pStyle w:val="Heading3"/>
      </w:pPr>
      <w:r>
        <w:t>4.2.4 风险核查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非法尝试：</w:t>
      </w:r>
      <w:r>
        <w:rPr>
          <w:rFonts w:ascii="Times New Roman" w:hAnsi="Times New Roman" w:eastAsia="宋体"/>
          <w:b w:val="0"/>
          <w:sz w:val="22"/>
        </w:rPr>
        <w:t>统计被防火墙拒绝的异常访问数据流，按新增、持续、减少三个维度对比展示变化趋势与明细，辅助发现异常跨区访问行为。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高危端口：</w:t>
      </w:r>
      <w:r>
        <w:rPr>
          <w:rFonts w:ascii="Times New Roman" w:hAnsi="Times New Roman" w:eastAsia="宋体"/>
          <w:b w:val="0"/>
          <w:sz w:val="22"/>
        </w:rPr>
        <w:t>基于预定义的高危端口，排查策略中开启高危端口的规则，并结合流量明细核查实际访问情况。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合规检测：</w:t>
      </w:r>
      <w:r>
        <w:rPr>
          <w:rFonts w:ascii="Times New Roman" w:hAnsi="Times New Roman" w:eastAsia="宋体"/>
          <w:b w:val="0"/>
          <w:sz w:val="22"/>
        </w:rPr>
        <w:t>基于自定义合规规则（如地址段掩码位数、源地址数量上限等），自动梳理违规定义的策略。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安全矩阵：</w:t>
      </w:r>
      <w:r>
        <w:rPr>
          <w:rFonts w:ascii="Times New Roman" w:hAnsi="Times New Roman" w:eastAsia="宋体"/>
          <w:b w:val="0"/>
          <w:sz w:val="22"/>
        </w:rPr>
        <w:t>按网络区域（Zone）建立跨区访问矩阵，支持手动或导入方式定义区域及地址，按矩阵规则分析已接入防火墙的跨区访问策略并生成分析报告，以颜色标识放行、禁用、未设置与部分放行状态。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白名单：</w:t>
      </w:r>
      <w:r>
        <w:rPr>
          <w:rFonts w:ascii="Times New Roman" w:hAnsi="Times New Roman" w:eastAsia="宋体"/>
          <w:b w:val="0"/>
          <w:sz w:val="22"/>
        </w:rPr>
        <w:t>通过规则匹配或文件上传两种方式，将确认例外的策略加入白名单；白名单策略发生变化时提供复核提示，避免策略已变更而例外未同步。</w:t>
      </w:r>
    </w:p>
    <w:p>
      <w:pPr>
        <w:pStyle w:val="Heading3"/>
      </w:pPr>
      <w:r>
        <w:t>4.2.5 统计报告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数据导出：</w:t>
      </w:r>
      <w:r>
        <w:rPr>
          <w:rFonts w:ascii="Times New Roman" w:hAnsi="Times New Roman" w:eastAsia="宋体"/>
          <w:b w:val="0"/>
          <w:sz w:val="22"/>
        </w:rPr>
        <w:t>对无效策略、宽泛策略、下线策略、问题策略、被拒绝通讯对、安全策略、可合并策略等类型进行导出与统计；支持条件过滤（防火墙、数据时间、源/目的 IP、端口、协议、策略状态、IP/端口数量、描述字段等）、字段自定义与周期配置。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color w:val="2B3542"/>
          <w:sz w:val="22"/>
        </w:rPr>
        <w:t>分析报告：</w:t>
      </w:r>
      <w:r>
        <w:rPr>
          <w:rFonts w:ascii="Times New Roman" w:hAnsi="Times New Roman" w:eastAsia="宋体"/>
          <w:b w:val="0"/>
          <w:sz w:val="22"/>
        </w:rPr>
        <w:t>生成风险分析报告（覆盖重复、被包含、停用、冲突、可合并、未命中、无业务、可收敛、网络对象、未引用等维度）与安全矩阵分析报告（全矩阵/自定义矩阵），支持按周、月、年等周期生成与通知，以 PDF 等方式交付。</w:t>
      </w:r>
    </w:p>
    <w:p>
      <w:pPr>
        <w:pStyle w:val="Heading1"/>
      </w:pPr>
      <w:r>
        <w:t>五、多厂商统一治理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平台支持 14 个主流防火墙品牌，统一采集、解析与呈现异构设备策略，在同一平台完成查询、审计和治理：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83"/>
        <w:gridCol w:w="2183"/>
        <w:gridCol w:w="2183"/>
        <w:gridCol w:w="2183"/>
      </w:tblGrid>
      <w:tr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思科 Cisco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Juniper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Palo Alto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华为</w:t>
            </w:r>
          </w:p>
        </w:tc>
      </w:tr>
      <w:tr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华三 H3C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山石 Hillstone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飞塔 Fortinet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迪普 DPtech</w:t>
            </w:r>
          </w:p>
        </w:tc>
      </w:tr>
      <w:tr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天融信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深信服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冠群金辰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启明星辰</w:t>
            </w:r>
          </w:p>
        </w:tc>
      </w:tr>
      <w:tr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绿盟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奇安信/360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color w:val="595959"/>
                <w:sz w:val="21"/>
              </w:rPr>
              <w:t>—</w:t>
            </w:r>
          </w:p>
        </w:tc>
        <w:tc>
          <w:tcPr>
            <w:tcW w:type="dxa" w:w="2183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宋体"/>
                <w:b w:val="0"/>
                <w:color w:val="595959"/>
                <w:sz w:val="21"/>
              </w:rPr>
              <w:t>—</w:t>
            </w:r>
          </w:p>
        </w:tc>
      </w:tr>
    </w:tbl>
    <w:p/>
    <w:p>
      <w:pPr>
        <w:pStyle w:val="Heading1"/>
      </w:pPr>
      <w:r>
        <w:t>六、典型应用场景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平台遵循“先看清访问经过哪里、策略是否开通，再推进策略精细化、故障定位与业务变更”的治理路径，典型应用场景如下：</w:t>
      </w:r>
    </w:p>
    <w:p>
      <w:pPr>
        <w:pStyle w:val="Heading2"/>
      </w:pPr>
      <w:r>
        <w:t>6.1 重点场景：源目访问路径审计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运维人员可手工输入源、目的地址，也可从业务系统选择访问对象。平台沿实际访问方向梳理经过的防火墙、区域和命中策略，使已开通、未开通及待核查节点一目了然：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快速判断策略需要加在哪台防火墙；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逐节点查看命中策略、原文与流量证据；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为业务开通、访问失败排查和变更复核提供依据。</w:t>
      </w:r>
    </w:p>
    <w:p>
      <w:pPr>
        <w:pStyle w:val="Heading2"/>
      </w:pPr>
      <w:r>
        <w:t>6.2 行业实践场景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2381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场景</w:t>
            </w:r>
          </w:p>
        </w:tc>
        <w:tc>
          <w:tcPr>
            <w:tcW w:type="dxa" w:w="3175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现场问题</w:t>
            </w:r>
          </w:p>
        </w:tc>
        <w:tc>
          <w:tcPr>
            <w:tcW w:type="dxa" w:w="3231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解决方式</w:t>
            </w:r>
          </w:p>
        </w:tc>
      </w:tr>
      <w:tr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能源行业：五元组精细化与宽泛策略收敛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宽泛地址段、任意端口与历史规则长期累积，缺少真实命中依据，难以判断应收紧哪些范围。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关联防火墙配置与镜像流量，提取实际命中的源目地址、端口、协议和访问方向，为规则收敛与清理提供依据。</w:t>
            </w:r>
          </w:p>
        </w:tc>
      </w:tr>
      <w:tr>
        <w:tc>
          <w:tcPr>
            <w:tcW w:type="dxa" w:w="238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金融行业：核心防火墙故障边界判断</w:t>
            </w:r>
          </w:p>
        </w:tc>
        <w:tc>
          <w:tcPr>
            <w:tcW w:type="dxa" w:w="3175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核心业务访问异常时，网络流量、策略阻断和设备状态相互交织，故障边界难以快速确认。</w:t>
            </w:r>
          </w:p>
        </w:tc>
        <w:tc>
          <w:tcPr>
            <w:tcW w:type="dxa" w:w="323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对比故障前后及防火墙两侧的包量、会话、拒绝流量和历史趋势，辅助缩小排查范围。</w:t>
            </w:r>
          </w:p>
        </w:tc>
      </w:tr>
      <w:tr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集团网络：跨区域访问与时效合规核查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跨生产区、发布区、管理区和测试区的访问规则分散，异常访问与过期规则不易集中发现。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按安全区域建立访问矩阵，识别异常跨区策略，并按无时间限制、已过期和有效期内形成复核清单。</w:t>
            </w:r>
          </w:p>
        </w:tc>
      </w:tr>
      <w:tr>
        <w:tc>
          <w:tcPr>
            <w:tcW w:type="dxa" w:w="238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业务生命周期：业务迁移、开通与下线核查</w:t>
            </w:r>
          </w:p>
        </w:tc>
        <w:tc>
          <w:tcPr>
            <w:tcW w:type="dxa" w:w="3175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业务迁移、开通失败或下线时，难以快速确认沿途策略状态及现有规则是否仍承载其他业务。</w:t>
            </w:r>
          </w:p>
        </w:tc>
        <w:tc>
          <w:tcPr>
            <w:tcW w:type="dxa" w:w="323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从业务地址或资产信息反查防火墙、策略和实际流量，核对策略开通、对象定义与业务承载关系。</w:t>
            </w:r>
          </w:p>
        </w:tc>
      </w:tr>
      <w:tr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配置变更：设备迁移与主备一致性复核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主备切换、型号替换或策略变更前后依赖人工逐条核对，配置缺失与顺序变化容易遗漏。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自动对比两份配置中的策略缺失、内容差异和顺序差异，并导出待确认项辅助复核。</w:t>
            </w:r>
          </w:p>
        </w:tc>
      </w:tr>
      <w:tr>
        <w:tc>
          <w:tcPr>
            <w:tcW w:type="dxa" w:w="238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持续治理：多中心存量策略优化</w:t>
            </w:r>
          </w:p>
        </w:tc>
        <w:tc>
          <w:tcPr>
            <w:tcW w:type="dxa" w:w="3175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多中心存量策略规模持续增长，重复、冲突、停用、未命中和无业务规则混杂，治理难以持续。</w:t>
            </w:r>
          </w:p>
        </w:tc>
        <w:tc>
          <w:tcPr>
            <w:tcW w:type="dxa" w:w="323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统一识别问题规则，按“快速清理—宽泛收敛—周期复核”分阶段推进，形成持续治理机制。</w:t>
            </w:r>
          </w:p>
        </w:tc>
      </w:tr>
    </w:tbl>
    <w:p>
      <w:pPr>
        <w:spacing w:after="40"/>
      </w:pPr>
    </w:p>
    <w:p>
      <w:pPr>
        <w:pStyle w:val="Heading1"/>
      </w:pPr>
      <w:r>
        <w:t>七、产品使用入门</w:t>
      </w:r>
    </w:p>
    <w:p>
      <w:pPr>
        <w:pStyle w:val="Heading2"/>
      </w:pPr>
      <w:r>
        <w:t>7.1 平台访问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NFM 防火墙策略分析平台采用 B/S 架构，用户通过浏览器访问平台部署地址，使用由管理员分配的账号登录即可使用。推荐使用 Chrome 等现代浏览器，以获得最佳使用体验。</w:t>
      </w:r>
    </w:p>
    <w:p>
      <w:pPr>
        <w:pStyle w:val="Heading2"/>
      </w:pPr>
      <w:r>
        <w:t>7.2 使用前提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1928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检查项</w:t>
            </w:r>
          </w:p>
        </w:tc>
        <w:tc>
          <w:tcPr>
            <w:tcW w:type="dxa" w:w="5272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说明</w:t>
            </w:r>
          </w:p>
        </w:tc>
        <w:tc>
          <w:tcPr>
            <w:tcW w:type="dxa" w:w="1928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是否必需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防火墙接入与策略采集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接入防火墙并周期采集、解析策略配置。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必需</w:t>
            </w:r>
          </w:p>
        </w:tc>
      </w:tr>
      <w:tr>
        <w:tc>
          <w:tcPr>
            <w:tcW w:type="dxa" w:w="1928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探针管理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镜像采集防火墙前后流量，支撑命中分析与流量明细。</w:t>
            </w:r>
          </w:p>
        </w:tc>
        <w:tc>
          <w:tcPr>
            <w:tcW w:type="dxa" w:w="1928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流量相关功能必需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策略配置</w:t>
            </w:r>
          </w:p>
        </w:tc>
        <w:tc>
          <w:tcPr>
            <w:tcW w:type="dxa" w:w="527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高危端口、合规规则等自定义分析配置。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按功能需要</w:t>
            </w:r>
          </w:p>
        </w:tc>
      </w:tr>
      <w:tr>
        <w:tc>
          <w:tcPr>
            <w:tcW w:type="dxa" w:w="1928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CMDB 资产库</w:t>
            </w:r>
          </w:p>
        </w:tc>
        <w:tc>
          <w:tcPr>
            <w:tcW w:type="dxa" w:w="527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IP 资产归属与业务信息检索。</w:t>
            </w:r>
          </w:p>
        </w:tc>
        <w:tc>
          <w:tcPr>
            <w:tcW w:type="dxa" w:w="1928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可选</w:t>
            </w:r>
          </w:p>
        </w:tc>
      </w:tr>
    </w:tbl>
    <w:p>
      <w:pPr>
        <w:spacing w:after="40"/>
      </w:pP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平台采用旁路部署，不影响现有网络结构与业务运行。</w:t>
      </w:r>
    </w:p>
    <w:p>
      <w:pPr>
        <w:pStyle w:val="Heading2"/>
      </w:pPr>
      <w:r>
        <w:t>7.3 功能入口概览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1474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功能模块</w:t>
            </w:r>
          </w:p>
        </w:tc>
        <w:tc>
          <w:tcPr>
            <w:tcW w:type="dxa" w:w="3061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子功能</w:t>
            </w:r>
          </w:p>
        </w:tc>
        <w:tc>
          <w:tcPr>
            <w:tcW w:type="dxa" w:w="4252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典型用途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实时监控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设备概览、流量监控</w:t>
            </w:r>
          </w:p>
        </w:tc>
        <w:tc>
          <w:tcPr>
            <w:tcW w:type="dxa" w:w="425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查看防火墙评分与实时流量命中情况，重大保障期间研判异常源 IP。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策略查询</w:t>
            </w:r>
          </w:p>
        </w:tc>
        <w:tc>
          <w:tcPr>
            <w:tcW w:type="dxa" w:w="306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策略查询、NAT 转换、策略对比</w:t>
            </w:r>
          </w:p>
        </w:tc>
        <w:tc>
          <w:tcPr>
            <w:tcW w:type="dxa" w:w="425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确认通讯对是否开通、核查 NAT 策略引用、主备与迁移策略差异比对。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策略优化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无效策略、宽泛策略、无业务策略、策略合并、对象分析、配置错误检查</w:t>
            </w:r>
          </w:p>
        </w:tc>
        <w:tc>
          <w:tcPr>
            <w:tcW w:type="dxa" w:w="425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等保合规治理：清理无效规则、收敛宽泛策略、下线无业务策略、排查误定义对象。</w:t>
            </w:r>
          </w:p>
        </w:tc>
      </w:tr>
      <w:tr>
        <w:tc>
          <w:tcPr>
            <w:tcW w:type="dxa" w:w="147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风险核查</w:t>
            </w:r>
          </w:p>
        </w:tc>
        <w:tc>
          <w:tcPr>
            <w:tcW w:type="dxa" w:w="3061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非法尝试、高危端口、合规检测、安全矩阵、白名单</w:t>
            </w:r>
          </w:p>
        </w:tc>
        <w:tc>
          <w:tcPr>
            <w:tcW w:type="dxa" w:w="4252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发现异常跨区访问与高危端口暴露，按自定义规则核查违规配置。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统计报告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数据导出、分析报告</w:t>
            </w:r>
          </w:p>
        </w:tc>
        <w:tc>
          <w:tcPr>
            <w:tcW w:type="dxa" w:w="4252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周期导出问题策略清单，生成风险分析与安全矩阵报告。</w:t>
            </w:r>
          </w:p>
        </w:tc>
      </w:tr>
    </w:tbl>
    <w:p>
      <w:pPr>
        <w:spacing w:after="40"/>
      </w:pPr>
    </w:p>
    <w:p>
      <w:pPr>
        <w:pStyle w:val="Heading1"/>
      </w:pPr>
      <w:r>
        <w:t>八、术语与指标说明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66"/>
        <w:gridCol w:w="4366"/>
      </w:tblGrid>
      <w:tr>
        <w:tc>
          <w:tcPr>
            <w:tcW w:type="dxa" w:w="2154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术语</w:t>
            </w:r>
          </w:p>
        </w:tc>
        <w:tc>
          <w:tcPr>
            <w:tcW w:type="dxa" w:w="7200"/>
            <w:shd w:val="clear" w:fill="2B3542"/>
          </w:tcPr>
          <w:p>
            <w:pPr>
              <w:spacing w:after="40" w:before="4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215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命中策略的数据流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到达防火墙且命中某条策略的数据流。</w:t>
            </w:r>
          </w:p>
        </w:tc>
      </w:tr>
      <w:tr>
        <w:tc>
          <w:tcPr>
            <w:tcW w:type="dxa" w:w="215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未命中策略的数据流</w:t>
            </w:r>
          </w:p>
        </w:tc>
        <w:tc>
          <w:tcPr>
            <w:tcW w:type="dxa" w:w="720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到达防火墙但未命中任何策略的数据流。</w:t>
            </w:r>
          </w:p>
        </w:tc>
      </w:tr>
      <w:tr>
        <w:tc>
          <w:tcPr>
            <w:tcW w:type="dxa" w:w="215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 Deny 的数据流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到达防火墙但被策略明确拒绝的数据流。</w:t>
            </w:r>
          </w:p>
        </w:tc>
      </w:tr>
      <w:tr>
        <w:tc>
          <w:tcPr>
            <w:tcW w:type="dxa" w:w="215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非防火墙的数据流</w:t>
            </w:r>
          </w:p>
        </w:tc>
        <w:tc>
          <w:tcPr>
            <w:tcW w:type="dxa" w:w="720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不属于该防火墙处理范围的数据流（按保护网段/VLAN 判断），仅作标记展示。</w:t>
            </w:r>
          </w:p>
        </w:tc>
      </w:tr>
      <w:tr>
        <w:tc>
          <w:tcPr>
            <w:tcW w:type="dxa" w:w="215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防火墙评分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基于问题策略占比得出的设备健康度评分，问题策略越少评分越高。</w:t>
            </w:r>
          </w:p>
        </w:tc>
      </w:tr>
      <w:tr>
        <w:tc>
          <w:tcPr>
            <w:tcW w:type="dxa" w:w="215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无效策略</w:t>
            </w:r>
          </w:p>
        </w:tc>
        <w:tc>
          <w:tcPr>
            <w:tcW w:type="dxa" w:w="720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冗余或永远不会命中的策略，包括重复、被包含、停用、冲突、可合并五种类型。</w:t>
            </w:r>
          </w:p>
        </w:tc>
      </w:tr>
      <w:tr>
        <w:tc>
          <w:tcPr>
            <w:tcW w:type="dxa" w:w="215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宽泛策略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源/目的地址或端口配置范围明显大于实际命中范围的策略，分可收敛与白名单两类管理状态。</w:t>
            </w:r>
          </w:p>
        </w:tc>
      </w:tr>
      <w:tr>
        <w:tc>
          <w:tcPr>
            <w:tcW w:type="dxa" w:w="215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无业务策略</w:t>
            </w:r>
          </w:p>
        </w:tc>
        <w:tc>
          <w:tcPr>
            <w:tcW w:type="dxa" w:w="720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有流量命中但无有效业务数据传输的策略，通常意味着业务已下线。</w:t>
            </w:r>
          </w:p>
        </w:tc>
      </w:tr>
      <w:tr>
        <w:tc>
          <w:tcPr>
            <w:tcW w:type="dxa" w:w="215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未命中策略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在选定时间段内长期没有流量命中的策略。</w:t>
            </w:r>
          </w:p>
        </w:tc>
      </w:tr>
      <w:tr>
        <w:tc>
          <w:tcPr>
            <w:tcW w:type="dxa" w:w="215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误定义对象</w:t>
            </w:r>
          </w:p>
        </w:tc>
        <w:tc>
          <w:tcPr>
            <w:tcW w:type="dxa" w:w="720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地址名称、应用名称与实际内容不符的地址、服务或时间对象。</w:t>
            </w:r>
          </w:p>
        </w:tc>
      </w:tr>
      <w:tr>
        <w:tc>
          <w:tcPr>
            <w:tcW w:type="dxa" w:w="215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非法尝试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被防火墙拒绝的异常访问数据流，按新增、持续、减少维度统计变化。</w:t>
            </w:r>
          </w:p>
        </w:tc>
      </w:tr>
      <w:tr>
        <w:tc>
          <w:tcPr>
            <w:tcW w:type="dxa" w:w="215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安全矩阵</w:t>
            </w:r>
          </w:p>
        </w:tc>
        <w:tc>
          <w:tcPr>
            <w:tcW w:type="dxa" w:w="720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按网络区域（Zone）维度核查跨区访问规则的矩阵化分析模型。</w:t>
            </w:r>
          </w:p>
        </w:tc>
      </w:tr>
      <w:tr>
        <w:tc>
          <w:tcPr>
            <w:tcW w:type="dxa" w:w="2154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白名单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确认无需治理的例外策略集合；标记后不进入收敛清单与统计导出结果，策略变化时提供复核提示。</w:t>
            </w:r>
          </w:p>
        </w:tc>
      </w:tr>
      <w:tr>
        <w:tc>
          <w:tcPr>
            <w:tcW w:type="dxa" w:w="2154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NAT 会话缝合</w:t>
            </w:r>
          </w:p>
        </w:tc>
        <w:tc>
          <w:tcPr>
            <w:tcW w:type="dxa" w:w="7200"/>
            <w:shd w:val="clear" w:fill="F2F6F7"/>
          </w:tcPr>
          <w:p>
            <w:pPr>
              <w:spacing w:after="40" w:before="4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关联地址转换前后的流量会话，还原策略、访问对象与业务通信的对应关系。</w:t>
            </w:r>
          </w:p>
        </w:tc>
      </w:tr>
    </w:tbl>
    <w:p>
      <w:pPr>
        <w:spacing w:after="40"/>
      </w:pPr>
    </w:p>
    <w:p>
      <w:pPr>
        <w:pStyle w:val="Heading1"/>
      </w:pPr>
      <w:r>
        <w:t>九、关于智维数据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北京智维盈讯网络科技有限公司（简称“智维数据”）是一家企业级 AI 产品与智能化运营技术公司，秉持“智维 AI · 无限可能”的理念，致力于以数据与智能技术提升网络与安全管理水平。</w:t>
      </w:r>
    </w:p>
    <w:p>
      <w:pPr>
        <w:spacing w:after="80"/>
        <w:ind w:firstLine="440"/>
      </w:pPr>
      <w:r>
        <w:rPr>
          <w:rFonts w:ascii="Times New Roman" w:hAnsi="Times New Roman" w:eastAsia="宋体"/>
          <w:b w:val="0"/>
          <w:sz w:val="22"/>
        </w:rPr>
        <w:t>NFM 防火墙策略分析平台作为公司安全策略数据与治理能力的核心产品，已在能源、金融、集团企业等行业广泛落地，帮助用户实现防火墙策略从“看不清、不敢动”到“有证据、可治理”的转变，构建持续、合规、可度量的策略治理体系。</w:t>
      </w:r>
    </w:p>
    <w:p>
      <w:pPr>
        <w:spacing w:after="80"/>
      </w:pPr>
      <w:r>
        <w:rPr>
          <w:rFonts w:ascii="Times New Roman" w:hAnsi="Times New Roman" w:eastAsia="宋体"/>
          <w:b w:val="0"/>
          <w:sz w:val="22"/>
        </w:rPr>
        <w:t>如需预约产品演示或了解更多产品详情，欢迎通过以下方式联系我们：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官方网站：www.ncmps.com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2"/>
        </w:rPr>
        <w:t>服务热线：400-666-8216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微软雅黑"/>
        <w:b w:val="0"/>
        <w:color w:val="595959"/>
        <w:sz w:val="16"/>
      </w:rPr>
      <w:t xml:space="preserve">北京智维盈讯网络科技有限公司（智维数据） · www.ncmps.com · 400-666-8216    第 </w:t>
    </w:r>
    <w:r>
      <w:rPr>
        <w:rFonts w:ascii="Times New Roman" w:hAnsi="Times New Roman" w:eastAsia="宋体"/>
        <w:b w:val="0"/>
        <w:color w:val="595959"/>
        <w:sz w:val="16"/>
      </w:rPr>
      <w:fldChar w:fldCharType="begin"/>
      <w:instrText xml:space="preserve">PAGE</w:instrText>
      <w:fldChar w:fldCharType="end"/>
    </w:r>
    <w:r>
      <w:rPr>
        <w:rFonts w:ascii="Times New Roman" w:hAnsi="Times New Roman" w:eastAsia="微软雅黑"/>
        <w:b w:val="0"/>
        <w:color w:val="595959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微软雅黑"/>
        <w:b w:val="0"/>
        <w:color w:val="595959"/>
        <w:sz w:val="16"/>
      </w:rPr>
      <w:t>NFM 防火墙策略分析平台 · 用户白皮书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80"/>
    </w:pPr>
    <w:rPr>
      <w:rFonts w:ascii="Times New Roman" w:hAnsi="Times New Roma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240" w:line="288" w:lineRule="auto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2B354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 w:line="288" w:lineRule="auto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2B354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60" w:line="288" w:lineRule="auto"/>
      <w:outlineLvl w:val="2"/>
    </w:pPr>
    <w:rPr>
      <w:rFonts w:asciiTheme="majorHAnsi" w:eastAsiaTheme="majorEastAsia" w:hAnsiTheme="majorHAnsi" w:cstheme="majorBidi" w:ascii="Arial" w:hAnsi="Arial" w:eastAsia="微软雅黑"/>
      <w:b/>
      <w:bCs/>
      <w:color w:val="1B9EA8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NFM 防火墙策略分析平台用户白皮书</dc:title>
  <dc:subject>防火墙策略分析平台白皮书</dc:subject>
  <dc:creator>智维数据（北京智维盈讯网络科技有限公司）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