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20.png" ContentType="image/png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jc w:val="center"/>
        <w:pStyle w:val="FirstParagraph"/>
      </w:pPr>
      <w:r>
        <w:drawing>
          <wp:inline>
            <wp:extent cx="1655999" cy="1655999"/>
            <wp:effectExtent b="0" l="0" r="0" t="0"/>
            <wp:docPr descr="" title="" id="1" name="Picture"/>
            <a:graphic>
              <a:graphicData uri="http://schemas.openxmlformats.org/drawingml/2006/picture">
                <pic:pic>
                  <pic:nvPicPr>
                    <pic:cNvPr descr="whitepaper_assets/logo.png" id="0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5999" cy="1655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before="480"/>
        <w:jc w:val="center"/>
      </w:pPr>
      <w:r>
        <w:rPr>
          <w:rFonts w:ascii="Times New Roman" w:hAnsi="Times New Roman" w:eastAsia="微软雅黑"/>
          <w:b/>
          <w:bCs/>
          <w:color w:val="2B3542"/>
          <w:sz w:val="52"/>
          <w:szCs w:val="52"/>
        </w:rPr>
        <w:t>全景IT资源用量与成本治理白皮书</w:t>
      </w:r>
    </w:p>
    <w:p>
      <w:pPr>
        <w:spacing w:before="120"/>
        <w:jc w:val="center"/>
      </w:pPr>
      <w:r>
        <w:rPr>
          <w:rFonts w:ascii="Times New Roman" w:hAnsi="Times New Roman" w:eastAsia="微软雅黑"/>
          <w:b/>
          <w:bCs/>
          <w:color w:val="1B9EA8"/>
          <w:sz w:val="40"/>
          <w:szCs w:val="40"/>
        </w:rPr>
        <w:t>用 户 白 皮 书</w:t>
      </w:r>
    </w:p>
    <w:p>
      <w:pPr>
        <w:spacing w:before="600"/>
        <w:jc w:val="center"/>
      </w:pPr>
      <w:r>
        <w:rPr>
          <w:rFonts w:ascii="Times New Roman" w:hAnsi="Times New Roman" w:eastAsia="微软雅黑"/>
          <w:b w:val="0"/>
          <w:color w:val="595959"/>
          <w:sz w:val="24"/>
          <w:szCs w:val="24"/>
        </w:rPr>
        <w:t>资产关系、业务用量与成本治理的一体化平台</w:t>
      </w:r>
    </w:p>
    <w:p>
      <w:pPr>
        <w:spacing w:before="0"/>
        <w:jc w:val="center"/>
      </w:pPr>
      <w:r>
        <w:rPr>
          <w:rFonts w:ascii="Times New Roman" w:hAnsi="Times New Roman" w:eastAsia="微软雅黑"/>
          <w:b/>
          <w:bCs/>
          <w:color w:val="2B3542"/>
          <w:sz w:val="26"/>
          <w:szCs w:val="26"/>
        </w:rPr>
        <w:t>北京智维盈讯网络科技有限公司（智维数据）</w:t>
      </w:r>
    </w:p>
    <w:p>
      <w:pPr>
        <w:spacing w:before="120"/>
        <w:jc w:val="center"/>
      </w:pPr>
      <w:r>
        <w:rPr>
          <w:rFonts w:ascii="Times New Roman" w:hAnsi="Times New Roman" w:eastAsia="微软雅黑"/>
          <w:b w:val="0"/>
          <w:color w:val="595959"/>
          <w:sz w:val="22"/>
          <w:szCs w:val="22"/>
        </w:rPr>
        <w:t>2026 年 10 月</w:t>
      </w:r>
    </w:p>
    <w:p>
      <w:pPr>
        <w:r>
          <w:br w:type="page"/>
        </w:r>
      </w:pPr>
    </w:p>
    <w:bookmarkStart w:id="21" w:name="文档说明"/>
    <w:p>
      <w:pPr>
        <w:pStyle w:val="Heading1"/>
      </w:pPr>
      <w:r>
        <w:t xml:space="preserve">文档说明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0"/>
        <w:gridCol w:w="6200"/>
      </w:tblGrid>
      <w:tr>
        <w:tc>
          <w:tcPr>
            <w:tcW w:type="dxa" w:w="2400"/>
            <w:shd w:val="clear" w:fill="2B3542"/>
          </w:tcPr>
          <w:p>
            <w:pPr>
              <w:spacing w:after="40" w:before="40"/>
              <w:jc w:val="center"/>
            </w:pPr>
            <w:r>
              <w:rPr>
                <w:rFonts w:ascii="Times New Roman" w:hAnsi="Times New Roman" w:eastAsia="宋体"/>
                <w:b/>
                <w:bCs/>
                <w:color w:val="FFFFFF"/>
                <w:sz w:val="21"/>
                <w:szCs w:val="21"/>
              </w:rPr>
              <w:t>项目</w:t>
            </w:r>
          </w:p>
        </w:tc>
        <w:tc>
          <w:tcPr>
            <w:tcW w:type="dxa" w:w="6200"/>
            <w:shd w:val="clear" w:fill="2B3542"/>
          </w:tcPr>
          <w:p>
            <w:pPr>
              <w:spacing w:after="40" w:before="40"/>
            </w:pPr>
            <w:r>
              <w:rPr>
                <w:rFonts w:ascii="Times New Roman" w:hAnsi="Times New Roman" w:eastAsia="宋体"/>
                <w:b/>
                <w:bCs/>
                <w:color w:val="FFFFFF"/>
                <w:sz w:val="21"/>
                <w:szCs w:val="21"/>
              </w:rPr>
              <w:t>内容</w:t>
            </w:r>
          </w:p>
        </w:tc>
      </w:tr>
      <w:tr>
        <w:tc>
          <w:tcPr>
            <w:tcW w:type="dxa" w:w="2400"/>
          </w:tcPr>
          <w:p>
            <w:pPr>
              <w:spacing w:after="40" w:before="4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文档名称</w:t>
            </w:r>
          </w:p>
        </w:tc>
        <w:tc>
          <w:tcPr>
            <w:tcW w:type="dxa" w:w="6200"/>
          </w:tcPr>
          <w:p>
            <w:pPr>
              <w:spacing w:after="40" w:before="40"/>
            </w:pP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全景IT资源用量与成本治理白皮书</w:t>
            </w:r>
          </w:p>
        </w:tc>
      </w:tr>
      <w:tr>
        <w:tc>
          <w:tcPr>
            <w:tcW w:type="dxa" w:w="2400"/>
          </w:tcPr>
          <w:p>
            <w:pPr>
              <w:spacing w:after="40" w:before="4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文档版本</w:t>
            </w:r>
          </w:p>
        </w:tc>
        <w:tc>
          <w:tcPr>
            <w:tcW w:type="dxa" w:w="6200"/>
          </w:tcPr>
          <w:p>
            <w:pPr>
              <w:spacing w:after="40" w:before="40"/>
            </w:pP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V1.0</w:t>
            </w:r>
          </w:p>
        </w:tc>
      </w:tr>
      <w:tr>
        <w:tc>
          <w:tcPr>
            <w:tcW w:type="dxa" w:w="2400"/>
          </w:tcPr>
          <w:p>
            <w:pPr>
              <w:spacing w:after="40" w:before="4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发布日期</w:t>
            </w:r>
          </w:p>
        </w:tc>
        <w:tc>
          <w:tcPr>
            <w:tcW w:type="dxa" w:w="6200"/>
          </w:tcPr>
          <w:p>
            <w:pPr>
              <w:spacing w:after="40" w:before="40"/>
            </w:pP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2026 年 10 月</w:t>
            </w:r>
          </w:p>
        </w:tc>
      </w:tr>
      <w:tr>
        <w:tc>
          <w:tcPr>
            <w:tcW w:type="dxa" w:w="2400"/>
          </w:tcPr>
          <w:p>
            <w:pPr>
              <w:spacing w:after="40" w:before="4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编制单位</w:t>
            </w:r>
          </w:p>
        </w:tc>
        <w:tc>
          <w:tcPr>
            <w:tcW w:type="dxa" w:w="6200"/>
          </w:tcPr>
          <w:p>
            <w:pPr>
              <w:spacing w:after="40" w:before="40"/>
            </w:pP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北京智维盈讯网络科技有限公司（智维数据）</w:t>
            </w:r>
          </w:p>
        </w:tc>
      </w:tr>
      <w:tr>
        <w:tc>
          <w:tcPr>
            <w:tcW w:type="dxa" w:w="2400"/>
          </w:tcPr>
          <w:p>
            <w:pPr>
              <w:spacing w:after="40" w:before="4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适用产品</w:t>
            </w:r>
          </w:p>
        </w:tc>
        <w:tc>
          <w:tcPr>
            <w:tcW w:type="dxa" w:w="6200"/>
          </w:tcPr>
          <w:p>
            <w:pPr>
              <w:spacing w:after="40" w:before="40"/>
            </w:pP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资源用量分析平台（智维数据成本中心系列）</w:t>
            </w:r>
          </w:p>
        </w:tc>
      </w:tr>
      <w:tr>
        <w:tc>
          <w:tcPr>
            <w:tcW w:type="dxa" w:w="2400"/>
          </w:tcPr>
          <w:p>
            <w:pPr>
              <w:spacing w:after="40" w:before="40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文档密级</w:t>
            </w:r>
          </w:p>
        </w:tc>
        <w:tc>
          <w:tcPr>
            <w:tcW w:type="dxa" w:w="6200"/>
          </w:tcPr>
          <w:p>
            <w:pPr>
              <w:spacing w:after="40" w:before="40"/>
            </w:pP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公开</w:t>
            </w:r>
          </w:p>
        </w:tc>
      </w:tr>
    </w:tbl>
    <w:p>
      <w:pPr>
        <w:spacing w:after="200"/>
        <w:ind w:firstLine="440"/>
      </w:pPr>
      <w:r>
        <w:rPr>
          <w:rFonts w:ascii="Times New Roman" w:hAnsi="Times New Roman" w:eastAsia="宋体"/>
          <w:b w:val="0"/>
          <w:color w:val="595959"/>
          <w:sz w:val="18"/>
          <w:szCs w:val="18"/>
        </w:rPr>
        <w:t>版权声明：本文档版权归北京智维盈讯网络科技有限公司所有。本文档内容仅供参考，产品功能以实际交付版本为准。未经本公司书面许可，任何单位或个人不得复制、传播或用于其他商业用途。</w:t>
      </w:r>
    </w:p>
    <w:bookmarkEnd w:id="21"/>
    <w:bookmarkStart w:id="22" w:name="摘-要"/>
    <w:p>
      <w:pPr>
        <w:pStyle w:val="Heading1"/>
      </w:pPr>
      <w:r>
        <w:t xml:space="preserve">摘 要</w:t>
      </w:r>
    </w:p>
    <w:p>
      <w:pPr>
        <w:spacing w:before="120" w:line="336" w:lineRule="auto"/>
        <w:ind w:firstLine="420"/>
      </w:pPr>
      <w:r>
        <w:rPr>
          <w:rFonts w:ascii="Times New Roman" w:hAnsi="Times New Roman" w:eastAsia="宋体"/>
          <w:b w:val="0"/>
          <w:sz w:val="22"/>
          <w:szCs w:val="22"/>
        </w:rPr>
        <w:t>随着企业 IT 投入持续增长，虚拟化、私有云、容器、物理服务器与网络负载设备多平台并存，资源分散、用量不清、成本归因困难、优化难以落地等问题日益突出。企业需要的不是又一份资源清单，而是一套能够持续回答"有什么、谁在用、用了多少、如何治理"的统一方法。</w:t>
      </w:r>
    </w:p>
    <w:p>
      <w:pPr>
        <w:spacing w:before="120" w:line="336" w:lineRule="auto"/>
        <w:ind w:firstLine="420"/>
      </w:pPr>
      <w:r>
        <w:rPr>
          <w:rFonts w:ascii="Times New Roman" w:hAnsi="Times New Roman" w:eastAsia="宋体"/>
          <w:b w:val="0"/>
          <w:sz w:val="22"/>
          <w:szCs w:val="22"/>
        </w:rPr>
        <w:t>智维数据资源用量分析平台以 TBM 框架为方法论基础，统一接入多平台数据，将资产、性能、组织与费用数据映射到同一对象与关系模型，贯通用量归因、预算告警、共享资源分摊、优化任务与角色化报告，形成"发现问题、分析影响、推动执行、持续复盘"的治理闭环。</w:t>
      </w:r>
    </w:p>
    <w:p>
      <w:pPr>
        <w:spacing w:before="120" w:line="336" w:lineRule="auto"/>
        <w:ind w:firstLine="420"/>
      </w:pPr>
      <w:r>
        <w:rPr>
          <w:rFonts w:ascii="Times New Roman" w:hAnsi="Times New Roman" w:eastAsia="宋体"/>
          <w:b w:val="0"/>
          <w:sz w:val="22"/>
          <w:szCs w:val="22"/>
        </w:rPr>
        <w:t>本文系统阐述平台的设计背景、核心挑战、解决方案、核心能力、分析流程、技术架构、典型应用场景与实施路径，为用户规划与落地 IT 资源用量治理提供参考。</w:t>
      </w:r>
    </w:p>
    <w:p>
      <w:pPr>
        <w:spacing w:before="240"/>
      </w:pPr>
      <w:r>
        <w:rPr>
          <w:b/>
          <w:sz w:val="20"/>
          <w:szCs w:val="20"/>
        </w:rPr>
        <w:t>关键词：</w:t>
      </w:r>
      <w:r>
        <w:rPr>
          <w:sz w:val="20"/>
          <w:szCs w:val="20"/>
        </w:rPr>
        <w:t>资源用量分析、成本治理、业务归因、共享分摊、宿主机整合、多租户、TBM、FinOps</w:t>
      </w:r>
    </w:p>
    <w:bookmarkEnd w:id="22"/>
    <w:bookmarkStart w:id="23" w:name="目-录"/>
    <w:p>
      <w:pPr>
        <w:pStyle w:val="Heading1"/>
      </w:pPr>
      <w:r>
        <w:t xml:space="preserve">目 录</w:t>
      </w:r>
    </w:p>
    <w:p>
      <w:pPr>
        <w:spacing w:before="160"/>
      </w:pPr>
      <w:r>
        <w:rPr>
          <w:rFonts w:ascii="Times New Roman" w:hAnsi="Times New Roman" w:eastAsia="微软雅黑"/>
          <w:b/>
          <w:bCs/>
          <w:sz w:val="23"/>
          <w:szCs w:val="23"/>
        </w:rPr>
        <w:t>一、用量治理的变革拐点</w:t>
      </w:r>
    </w:p>
    <w:p>
      <w:pPr>
        <w:ind w:left="420"/>
      </w:pPr>
      <w:r>
        <w:rPr>
          <w:rFonts w:ascii="Times New Roman" w:hAnsi="Times New Roman" w:eastAsia="微软雅黑"/>
          <w:b w:val="0"/>
          <w:sz w:val="21"/>
          <w:szCs w:val="21"/>
        </w:rPr>
        <w:t>1.1 规模驱动：IT 投入的不可逆增长</w:t>
      </w:r>
    </w:p>
    <w:p>
      <w:pPr>
        <w:ind w:left="420"/>
      </w:pPr>
      <w:r>
        <w:rPr>
          <w:rFonts w:ascii="Times New Roman" w:hAnsi="Times New Roman" w:eastAsia="微软雅黑"/>
          <w:b w:val="0"/>
          <w:sz w:val="21"/>
          <w:szCs w:val="21"/>
        </w:rPr>
        <w:t>1.2 效率困局：资源不少、平台很多，却回答不了四个问题</w:t>
      </w:r>
    </w:p>
    <w:p>
      <w:pPr>
        <w:ind w:left="420"/>
      </w:pPr>
      <w:r>
        <w:rPr>
          <w:rFonts w:ascii="Times New Roman" w:hAnsi="Times New Roman" w:eastAsia="微软雅黑"/>
          <w:b w:val="0"/>
          <w:sz w:val="21"/>
          <w:szCs w:val="21"/>
        </w:rPr>
        <w:t>1.3 管理升级：从成本核算到价值创造</w:t>
      </w:r>
    </w:p>
    <w:p>
      <w:pPr>
        <w:spacing w:before="80"/>
      </w:pPr>
      <w:r>
        <w:rPr>
          <w:rFonts w:ascii="Times New Roman" w:hAnsi="Times New Roman" w:eastAsia="微软雅黑"/>
          <w:b/>
          <w:bCs/>
          <w:sz w:val="23"/>
          <w:szCs w:val="23"/>
        </w:rPr>
        <w:t>二、资源用量管理的核心挑战</w:t>
      </w:r>
    </w:p>
    <w:p>
      <w:pPr>
        <w:ind w:left="420"/>
      </w:pPr>
      <w:r>
        <w:rPr>
          <w:rFonts w:ascii="Times New Roman" w:hAnsi="Times New Roman" w:eastAsia="微软雅黑"/>
          <w:b w:val="0"/>
          <w:sz w:val="21"/>
          <w:szCs w:val="21"/>
        </w:rPr>
        <w:t>2.1 看不全：资源关系与使用状态割裂</w:t>
      </w:r>
    </w:p>
    <w:p>
      <w:pPr>
        <w:ind w:left="420"/>
      </w:pPr>
      <w:r>
        <w:rPr>
          <w:rFonts w:ascii="Times New Roman" w:hAnsi="Times New Roman" w:eastAsia="微软雅黑"/>
          <w:b w:val="0"/>
          <w:sz w:val="21"/>
          <w:szCs w:val="21"/>
        </w:rPr>
        <w:t>2.2 算不清：用量难对应业务责任</w:t>
      </w:r>
    </w:p>
    <w:p>
      <w:pPr>
        <w:ind w:left="420"/>
      </w:pPr>
      <w:r>
        <w:rPr>
          <w:rFonts w:ascii="Times New Roman" w:hAnsi="Times New Roman" w:eastAsia="微软雅黑"/>
          <w:b w:val="0"/>
          <w:sz w:val="21"/>
          <w:szCs w:val="21"/>
        </w:rPr>
        <w:t>2.3 找不准：异常变化难定位</w:t>
      </w:r>
    </w:p>
    <w:p>
      <w:pPr>
        <w:ind w:left="420"/>
      </w:pPr>
      <w:r>
        <w:rPr>
          <w:rFonts w:ascii="Times New Roman" w:hAnsi="Times New Roman" w:eastAsia="微软雅黑"/>
          <w:b w:val="0"/>
          <w:sz w:val="21"/>
          <w:szCs w:val="21"/>
        </w:rPr>
        <w:t>2.4 推不动：分析结果难转化为治理行动</w:t>
      </w:r>
    </w:p>
    <w:p>
      <w:pPr>
        <w:spacing w:before="80"/>
      </w:pPr>
      <w:r>
        <w:rPr>
          <w:rFonts w:ascii="Times New Roman" w:hAnsi="Times New Roman" w:eastAsia="微软雅黑"/>
          <w:b/>
          <w:bCs/>
          <w:sz w:val="23"/>
          <w:szCs w:val="23"/>
        </w:rPr>
        <w:t>三、解决方案总览</w:t>
      </w:r>
    </w:p>
    <w:p>
      <w:pPr>
        <w:spacing w:before="80"/>
      </w:pPr>
      <w:r>
        <w:rPr>
          <w:rFonts w:ascii="Times New Roman" w:hAnsi="Times New Roman" w:eastAsia="微软雅黑"/>
          <w:b/>
          <w:bCs/>
          <w:sz w:val="23"/>
          <w:szCs w:val="23"/>
        </w:rPr>
        <w:t>四、核心能力</w:t>
      </w:r>
    </w:p>
    <w:p>
      <w:pPr>
        <w:spacing w:before="80"/>
      </w:pPr>
      <w:r>
        <w:rPr>
          <w:rFonts w:ascii="Times New Roman" w:hAnsi="Times New Roman" w:eastAsia="微软雅黑"/>
          <w:b/>
          <w:bCs/>
          <w:sz w:val="23"/>
          <w:szCs w:val="23"/>
        </w:rPr>
        <w:t>五、六步分析流程：从多源数据到治理结果</w:t>
      </w:r>
    </w:p>
    <w:p>
      <w:pPr>
        <w:spacing w:before="80"/>
      </w:pPr>
      <w:r>
        <w:rPr>
          <w:rFonts w:ascii="Times New Roman" w:hAnsi="Times New Roman" w:eastAsia="微软雅黑"/>
          <w:b/>
          <w:bCs/>
          <w:sz w:val="23"/>
          <w:szCs w:val="23"/>
        </w:rPr>
        <w:t>六、技术架构</w:t>
      </w:r>
    </w:p>
    <w:p>
      <w:pPr>
        <w:spacing w:before="80"/>
      </w:pPr>
      <w:r>
        <w:rPr>
          <w:rFonts w:ascii="Times New Roman" w:hAnsi="Times New Roman" w:eastAsia="微软雅黑"/>
          <w:b/>
          <w:bCs/>
          <w:sz w:val="23"/>
          <w:szCs w:val="23"/>
        </w:rPr>
        <w:t>七、应用场景与角色价值</w:t>
      </w:r>
    </w:p>
    <w:p>
      <w:pPr>
        <w:spacing w:before="80"/>
      </w:pPr>
      <w:r>
        <w:rPr>
          <w:rFonts w:ascii="Times New Roman" w:hAnsi="Times New Roman" w:eastAsia="微软雅黑"/>
          <w:b/>
          <w:bCs/>
          <w:sz w:val="23"/>
          <w:szCs w:val="23"/>
        </w:rPr>
        <w:t>八、实施路径</w:t>
      </w:r>
    </w:p>
    <w:p>
      <w:pPr>
        <w:spacing w:before="80"/>
      </w:pPr>
      <w:r>
        <w:rPr>
          <w:rFonts w:ascii="Times New Roman" w:hAnsi="Times New Roman" w:eastAsia="微软雅黑"/>
          <w:b/>
          <w:bCs/>
          <w:sz w:val="23"/>
          <w:szCs w:val="23"/>
        </w:rPr>
        <w:t>九、差异化优势</w:t>
      </w:r>
    </w:p>
    <w:p>
      <w:pPr>
        <w:spacing w:before="80"/>
      </w:pPr>
      <w:r>
        <w:rPr>
          <w:rFonts w:ascii="Times New Roman" w:hAnsi="Times New Roman" w:eastAsia="微软雅黑"/>
          <w:b/>
          <w:bCs/>
          <w:sz w:val="23"/>
          <w:szCs w:val="23"/>
        </w:rPr>
        <w:t>十、启动您的用量治理之旅</w:t>
      </w:r>
    </w:p>
    <w:p>
      <w:pPr>
        <w:r>
          <w:br w:type="page"/>
        </w:r>
      </w:pPr>
    </w:p>
    <w:bookmarkEnd w:id="23"/>
    <w:bookmarkStart w:id="27" w:name="一用量治理的变革拐点"/>
    <w:p>
      <w:pPr>
        <w:pStyle w:val="Heading1"/>
      </w:pPr>
      <w:r>
        <w:t xml:space="preserve">一、用量治理的变革拐点</w:t>
      </w:r>
    </w:p>
    <w:bookmarkStart w:id="24" w:name="规模驱动it-投入的不可逆增长"/>
    <w:p>
      <w:pPr>
        <w:pStyle w:val="Heading2"/>
      </w:pPr>
      <w:r>
        <w:t xml:space="preserve">1.1 规模驱动：IT 投入的不可逆增长</w:t>
      </w:r>
    </w:p>
    <w:p>
      <w:pPr>
        <w:pStyle w:val="FirstParagraph"/>
      </w:pPr>
      <w:r>
        <w:t xml:space="preserve">全球 IT 支出正处于历史性高位。Gartner 预测显示，2026 年全球 IT 总支出将达 6.31 万亿美元，同比增长 13.5%，其中数据中心系统支出 7880 亿美元，连续第二年保持超过 50% 的增速。这一增长的核心驱动力，是 AI 基础设施的大规模建设。</w:t>
      </w:r>
    </w:p>
    <w:p>
      <w:pPr>
        <w:pStyle w:val="BodyText"/>
      </w:pPr>
      <w:r>
        <w:t xml:space="preserve">中国市场的态势同样明确。2025 年，13 家上市银行金融科技投入合计超过 1800 亿元；中国公有云 IaaS 市场增速重回 20%（IDC），其中智算资源池同比增长 122.4%。</w:t>
      </w:r>
    </w:p>
    <w:p>
      <w:pPr>
        <w:pStyle w:val="BodyText"/>
      </w:pPr>
      <w:r>
        <w:t xml:space="preserve">这些数字传递出一个清晰的信号：IT 已从企业的支撑部门变为核心生产力单元。但当投入达到如此规模时，管理的精细度必须与之匹配——花得多，更要花得明白。</w:t>
      </w:r>
    </w:p>
    <w:bookmarkEnd w:id="24"/>
    <w:bookmarkStart w:id="25" w:name="效率困局资源不少平台很多却回答不了四个问题"/>
    <w:p>
      <w:pPr>
        <w:pStyle w:val="Heading2"/>
      </w:pPr>
      <w:r>
        <w:t xml:space="preserve">1.2 效率困局：资源不少、平台很多，却回答不了四个问题</w:t>
      </w:r>
    </w:p>
    <w:p>
      <w:pPr>
        <w:pStyle w:val="FirstParagraph"/>
      </w:pPr>
      <w:r>
        <w:t xml:space="preserve">投入的快速增长并没有自动带来效率的提升。</w:t>
      </w:r>
    </w:p>
    <w:p>
      <w:pPr>
        <w:pStyle w:val="BodyText"/>
      </w:pPr>
      <w:r>
        <w:t xml:space="preserve">中国私有部署的服务器 CPU 平均利用率仅为 5% 至 10%（IDC/国家信息中心 2024 年报告）；全球约 21% 的云基础设施支出——超过 445 亿美元——浪费在闲置或低利用率的资源上。企业里同时跑着虚拟化平台、私有云、容器平台、物理服务器和网络设备，资源对象、承载关系与使用状态却各自割裂。</w:t>
      </w:r>
    </w:p>
    <w:p>
      <w:pPr>
        <w:pStyle w:val="BodyText"/>
      </w:pPr>
      <w:r>
        <w:t xml:space="preserve">企业需要的不只是又一份资源清单，而是一套能够持续回答四个关键问题的统一分析方法：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有什么</w:t>
      </w:r>
      <w:r>
        <w:t xml:space="preserve">——全网到底有哪些资源，它们之间的承载关系是什么？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谁在用</w:t>
      </w:r>
      <w:r>
        <w:t xml:space="preserve">——每台资源在为哪个业务、哪个部门、哪个租户服务？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用了多少</w:t>
      </w:r>
      <w:r>
        <w:t xml:space="preserve">——实际用量与费用是多少，变化是否异常？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如何治理</w:t>
      </w:r>
      <w:r>
        <w:t xml:space="preserve">——发现浪费之后，谁来执行、怎么跟踪、效果如何复盘？</w:t>
      </w:r>
    </w:p>
    <w:p>
      <w:pPr>
        <w:pStyle w:val="FirstParagraph"/>
      </w:pPr>
      <w:r>
        <w:t xml:space="preserve">正如一位 CIO 所感叹的：</w:t>
      </w:r>
      <w:r>
        <w:t xml:space="preserve">“</w:t>
      </w:r>
      <w:r>
        <w:t xml:space="preserve">我知道我们每年花了很多钱买设备，但我回答不了三个基本问题——我们有多少台服务器在用？每台用到了什么程度？这些资源在支撑哪些业务？</w:t>
      </w:r>
      <w:r>
        <w:t xml:space="preserve">”</w:t>
      </w:r>
    </w:p>
    <w:bookmarkEnd w:id="25"/>
    <w:bookmarkStart w:id="26" w:name="管理升级从成本核算到价值创造"/>
    <w:p>
      <w:pPr>
        <w:pStyle w:val="Heading2"/>
      </w:pPr>
      <w:r>
        <w:t xml:space="preserve">1.3 管理升级：从成本核算到价值创造</w:t>
      </w:r>
    </w:p>
    <w:p>
      <w:pPr>
        <w:pStyle w:val="FirstParagraph"/>
      </w:pPr>
      <w:r>
        <w:t xml:space="preserve">要回答以上问题，需要一个能将 IT 资源与业务价值连接起来的框架。</w:t>
      </w:r>
    </w:p>
    <w:p>
      <w:pPr>
        <w:pStyle w:val="BodyText"/>
      </w:pPr>
      <w:r>
        <w:t xml:space="preserve">技术业务管理（TBM）通过标准化的四层分类模型——成本池、资源塔、解决方案、消费者——将 IT 资源消耗与业务成果精准关联。与此同时，FinOps（云财务运营）的实践范围正从公有云扩展到全技术栈：FinOps 基金会 2026 年报告显示，57% 的企业已将 FinOps 实践延伸至私有云环境，48% 覆盖了传统数据中心，Showback（用量展示）→ Chargeback（内部结算）的递进式路径已成为行业公认的最佳实践。</w:t>
      </w:r>
    </w:p>
    <w:p>
      <w:pPr>
        <w:pStyle w:val="BodyText"/>
      </w:pPr>
      <w:r>
        <w:t xml:space="preserve">IT 部门的定位正在从</w:t>
      </w:r>
      <w:r>
        <w:t xml:space="preserve">“</w:t>
      </w:r>
      <w:r>
        <w:t xml:space="preserve">成本中心</w:t>
      </w:r>
      <w:r>
        <w:t xml:space="preserve">”</w:t>
      </w:r>
      <w:r>
        <w:t xml:space="preserve">向</w:t>
      </w:r>
      <w:r>
        <w:t xml:space="preserve">“</w:t>
      </w:r>
      <w:r>
        <w:t xml:space="preserve">价值中心</w:t>
      </w:r>
      <w:r>
        <w:t xml:space="preserve">”</w:t>
      </w:r>
      <w:r>
        <w:t xml:space="preserve">转变。而这个转变的前提，是建立一套透明、准确、可持续的 IT 资源用量数据底座。</w:t>
      </w:r>
    </w:p>
    <w:bookmarkEnd w:id="26"/>
    <w:bookmarkEnd w:id="27"/>
    <w:bookmarkStart w:id="32" w:name="二资源用量管理的核心挑战"/>
    <w:p>
      <w:pPr>
        <w:pStyle w:val="Heading1"/>
      </w:pPr>
      <w:r>
        <w:t xml:space="preserve">二、资源用量管理的核心挑战</w:t>
      </w:r>
    </w:p>
    <w:bookmarkStart w:id="28" w:name="看不全资源关系与使用状态割裂"/>
    <w:p>
      <w:pPr>
        <w:pStyle w:val="Heading2"/>
      </w:pPr>
      <w:r>
        <w:t xml:space="preserve">2.1 看不全：资源关系与使用状态割裂</w:t>
      </w:r>
    </w:p>
    <w:p>
      <w:pPr>
        <w:pStyle w:val="FirstParagraph"/>
      </w:pPr>
      <w:r>
        <w:t xml:space="preserve">虚拟化、私有云、容器、物理机和网络设备分别管理，资源对象、承载关系与实际使用状态难以在同一视角下汇总。虚拟机和容器在宿主机之间漂移，云资源按租户和项目隔离，网络设备只认得端口和流量——没有任何一个系统能单独讲出完整的资源故事。</w:t>
      </w:r>
    </w:p>
    <w:bookmarkEnd w:id="28"/>
    <w:bookmarkStart w:id="29" w:name="算不清用量难对应业务责任"/>
    <w:p>
      <w:pPr>
        <w:pStyle w:val="Heading2"/>
      </w:pPr>
      <w:r>
        <w:t xml:space="preserve">2.2 算不清：用量难对应业务责任</w:t>
      </w:r>
    </w:p>
    <w:p>
      <w:pPr>
        <w:pStyle w:val="FirstParagraph"/>
      </w:pPr>
      <w:r>
        <w:t xml:space="preserve">资源与业务、部门、项目和租户的关系不完整，直接用量与共享资源消耗难以归集到实际使用方。当财务部门要求</w:t>
      </w:r>
      <w:r>
        <w:t xml:space="preserve">“</w:t>
      </w:r>
      <w:r>
        <w:t xml:space="preserve">按业务线分摊网络设备成本</w:t>
      </w:r>
      <w:r>
        <w:t xml:space="preserve">”</w:t>
      </w:r>
      <w:r>
        <w:t xml:space="preserve">时，大多数企业的依据仍然是按人头均摊；当 CIO 追问</w:t>
      </w:r>
      <w:r>
        <w:t xml:space="preserve">“</w:t>
      </w:r>
      <w:r>
        <w:t xml:space="preserve">核心交换机的带宽哪些业务各占多少</w:t>
      </w:r>
      <w:r>
        <w:t xml:space="preserve">”</w:t>
      </w:r>
      <w:r>
        <w:t xml:space="preserve">，得到的回答往往是</w:t>
      </w:r>
      <w:r>
        <w:t xml:space="preserve">“</w:t>
      </w:r>
      <w:r>
        <w:t xml:space="preserve">这是共享资源，说不清楚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问题在于：说不清楚的事情，就没有人负责。共享资源的</w:t>
      </w:r>
      <w:r>
        <w:t xml:space="preserve">“</w:t>
      </w:r>
      <w:r>
        <w:t xml:space="preserve">糊涂账</w:t>
      </w:r>
      <w:r>
        <w:t xml:space="preserve">”</w:t>
      </w:r>
      <w:r>
        <w:t xml:space="preserve">已成为企业 IT 财务透明的最大障碍。</w:t>
      </w:r>
    </w:p>
    <w:bookmarkEnd w:id="29"/>
    <w:bookmarkStart w:id="30" w:name="找不准异常变化难定位"/>
    <w:p>
      <w:pPr>
        <w:pStyle w:val="Heading2"/>
      </w:pPr>
      <w:r>
        <w:t xml:space="preserve">2.3 找不准：异常变化难定位</w:t>
      </w:r>
    </w:p>
    <w:p>
      <w:pPr>
        <w:pStyle w:val="FirstParagraph"/>
      </w:pPr>
      <w:r>
        <w:t xml:space="preserve">传统报表是静态的、滞后的。缺少时间趋势、周期对比、成本分布和逐级下钻，难以及时发现用量突增、预算偏离与低效资源。一台服务器从</w:t>
      </w:r>
      <w:r>
        <w:t xml:space="preserve">“</w:t>
      </w:r>
      <w:r>
        <w:t xml:space="preserve">在用</w:t>
      </w:r>
      <w:r>
        <w:t xml:space="preserve">”</w:t>
      </w:r>
      <w:r>
        <w:t xml:space="preserve">到</w:t>
      </w:r>
      <w:r>
        <w:t xml:space="preserve">“</w:t>
      </w:r>
      <w:r>
        <w:t xml:space="preserve">闲置</w:t>
      </w:r>
      <w:r>
        <w:t xml:space="preserve">”</w:t>
      </w:r>
      <w:r>
        <w:t xml:space="preserve">再到</w:t>
      </w:r>
      <w:r>
        <w:t xml:space="preserve">“</w:t>
      </w:r>
      <w:r>
        <w:t xml:space="preserve">被遗忘</w:t>
      </w:r>
      <w:r>
        <w:t xml:space="preserve">”</w:t>
      </w:r>
      <w:r>
        <w:t xml:space="preserve">的整个过程，在企业内部完全没有记录。</w:t>
      </w:r>
    </w:p>
    <w:bookmarkEnd w:id="30"/>
    <w:bookmarkStart w:id="31" w:name="推不动分析结果难转化为治理行动"/>
    <w:p>
      <w:pPr>
        <w:pStyle w:val="Heading2"/>
      </w:pPr>
      <w:r>
        <w:t xml:space="preserve">2.4 推不动：分析结果难转化为治理行动</w:t>
      </w:r>
    </w:p>
    <w:p>
      <w:pPr>
        <w:pStyle w:val="FirstParagraph"/>
      </w:pPr>
      <w:r>
        <w:t xml:space="preserve">监控、预算、告警和优化任务彼此割裂。分析工具告诉运维</w:t>
      </w:r>
      <w:r>
        <w:t xml:space="preserve">“</w:t>
      </w:r>
      <w:r>
        <w:t xml:space="preserve">有很多闲置资源</w:t>
      </w:r>
      <w:r>
        <w:t xml:space="preserve">”</w:t>
      </w:r>
      <w:r>
        <w:t xml:space="preserve">，却不回答</w:t>
      </w:r>
      <w:r>
        <w:t xml:space="preserve">“</w:t>
      </w:r>
      <w:r>
        <w:t xml:space="preserve">能迁到哪台宿主机、受哪些约束、执行后节省多少</w:t>
      </w:r>
      <w:r>
        <w:t xml:space="preserve">”</w:t>
      </w:r>
      <w:r>
        <w:t xml:space="preserve">。发现问题后缺少责任确认、执行清单与结果跟踪，治理永远停留在汇报层面。</w:t>
      </w:r>
    </w:p>
    <w:bookmarkEnd w:id="31"/>
    <w:bookmarkEnd w:id="32"/>
    <w:bookmarkStart w:id="33" w:name="三解决方案总览"/>
    <w:p>
      <w:pPr>
        <w:pStyle w:val="Heading1"/>
      </w:pPr>
      <w:r>
        <w:t xml:space="preserve">三、解决方案总览</w:t>
      </w:r>
    </w:p>
    <w:p>
      <w:pPr>
        <w:pStyle w:val="FirstParagraph"/>
      </w:pPr>
      <w:r>
        <w:t xml:space="preserve">智维数据</w:t>
      </w:r>
      <w:r>
        <w:rPr>
          <w:bCs/>
          <w:b/>
        </w:rPr>
        <w:t xml:space="preserve">资源用量分析平台</w:t>
      </w:r>
      <w:r>
        <w:t xml:space="preserve">，正是为驱动这一变革而生。它以业界权威的 TBM 框架为方法论基础，统一接入虚拟化平台、私有云、容器平台、物理基础设施及网络与负载设备，将分散的资产、性能、组织和费用数据映射到</w:t>
      </w:r>
      <w:r>
        <w:rPr>
          <w:bCs/>
          <w:b/>
        </w:rPr>
        <w:t xml:space="preserve">同一对象与关系模型</w:t>
      </w:r>
      <w:r>
        <w:t xml:space="preserve">，贯通用量归因、预算告警、共享资源分摊、优化任务与角色化报告，形成</w:t>
      </w:r>
      <w:r>
        <w:t xml:space="preserve">“</w:t>
      </w:r>
      <w:r>
        <w:rPr>
          <w:bCs/>
          <w:b/>
        </w:rPr>
        <w:t xml:space="preserve">发现问题 → 分析影响 → 推动执行 → 持续复盘</w:t>
      </w:r>
      <w:r>
        <w:t xml:space="preserve">”</w:t>
      </w:r>
      <w:r>
        <w:t xml:space="preserve">的治理闭环。</w:t>
      </w:r>
    </w:p>
    <w:p>
      <w:pPr>
        <w:pStyle w:val="BodyText"/>
      </w:pPr>
      <w:r>
        <w:t xml:space="preserve">平台以智维数据三大自研产品为技术底座：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nCompass 网络流量分析平台</w:t>
      </w:r>
      <w:r>
        <w:t xml:space="preserve">——构建可追溯的用量事实基础。通过旁路镜像方式全量采集网络通信数据，对原始流量进行协议级分析，将每一笔网络流量精准归属到具体业务应用，为网络设备、带宽等共享资源的用量分摊提供客观、完整的原始数据。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灵珑应用交付管理平台</w:t>
      </w:r>
      <w:r>
        <w:t xml:space="preserve">——搭建技术到业务的桥梁。自动发现并绘制</w:t>
      </w:r>
      <w:r>
        <w:t xml:space="preserve">“</w:t>
      </w:r>
      <w:r>
        <w:t xml:space="preserve">用户 → 应用交付控制器 → 后端服务器/容器</w:t>
      </w:r>
      <w:r>
        <w:t xml:space="preserve">”</w:t>
      </w:r>
      <w:r>
        <w:t xml:space="preserve">的业务访问拓扑，将底层零散的 IP 会话翻译成业务人员能理解的</w:t>
      </w:r>
      <w:r>
        <w:t xml:space="preserve">“</w:t>
      </w:r>
      <w:r>
        <w:t xml:space="preserve">应用</w:t>
      </w:r>
      <w:r>
        <w:t xml:space="preserve">”</w:t>
      </w:r>
      <w:r>
        <w:t xml:space="preserve">和</w:t>
      </w:r>
      <w:r>
        <w:t xml:space="preserve">“</w:t>
      </w:r>
      <w:r>
        <w:t xml:space="preserve">服务</w:t>
      </w:r>
      <w:r>
        <w:t xml:space="preserve">”</w:t>
      </w:r>
      <w:r>
        <w:t xml:space="preserve">。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灵眸智能数据管理平台</w:t>
      </w:r>
      <w:r>
        <w:t xml:space="preserve">——打破数据孤岛。将来自 nCompass、灵珑及所有第三方系统（CMDB、云平台、虚拟化管理平台、财务系统、动环系统）的异构数据统一清洗、转换、加载，注入统一数据模型，AI 缝合引擎自动识别跨系统实体关联。</w:t>
      </w:r>
    </w:p>
    <w:p>
      <w:pPr>
        <w:pStyle w:val="FirstParagraph"/>
      </w:pPr>
      <w:r>
        <w:rPr>
          <w:bCs/>
          <w:b/>
        </w:rPr>
        <w:t xml:space="preserve">统一对象与关系模型</w:t>
      </w:r>
      <w:r>
        <w:t xml:space="preserve">是平台的方法论核心：资产底账回答</w:t>
      </w:r>
      <w:r>
        <w:t xml:space="preserve">“</w:t>
      </w:r>
      <w:r>
        <w:t xml:space="preserve">有什么</w:t>
      </w:r>
      <w:r>
        <w:t xml:space="preserve">”</w:t>
      </w:r>
      <w:r>
        <w:t xml:space="preserve">，用量洞察回答</w:t>
      </w:r>
      <w:r>
        <w:t xml:space="preserve">“</w:t>
      </w:r>
      <w:r>
        <w:t xml:space="preserve">谁在用、用了多少</w:t>
      </w:r>
      <w:r>
        <w:t xml:space="preserve">”</w:t>
      </w:r>
      <w:r>
        <w:t xml:space="preserve">，成本治理回答</w:t>
      </w:r>
      <w:r>
        <w:t xml:space="preserve">“</w:t>
      </w:r>
      <w:r>
        <w:t xml:space="preserve">花在哪里、如何治理</w:t>
      </w:r>
      <w:r>
        <w:t xml:space="preserve">”</w:t>
      </w:r>
      <w:r>
        <w:t xml:space="preserve">。三层贯通，让每项结论都能落到具体责任对象。</w:t>
      </w:r>
    </w:p>
    <w:bookmarkEnd w:id="33"/>
    <w:bookmarkStart w:id="41" w:name="四核心能力"/>
    <w:p>
      <w:pPr>
        <w:pStyle w:val="Heading1"/>
      </w:pPr>
      <w:r>
        <w:t xml:space="preserve">四、核心能力</w:t>
      </w:r>
    </w:p>
    <w:bookmarkStart w:id="34" w:name="用量总览一张视图掌握多平台资源用量"/>
    <w:p>
      <w:pPr>
        <w:pStyle w:val="Heading2"/>
      </w:pPr>
      <w:r>
        <w:t xml:space="preserve">4.1 用量总览：一张视图掌握多平台资源用量</w:t>
      </w:r>
    </w:p>
    <w:p>
      <w:pPr>
        <w:pStyle w:val="FirstParagraph"/>
      </w:pPr>
      <w:r>
        <w:t xml:space="preserve">统一汇总虚拟化、云平台、容器、物理服务器、网络设备和负载设备的资源规模、成本趋势、异常状态与责任归属。集中查看总成本、月末预测、异常成本与用量告警；按业务、业务组、部门和区域查看用量排行；从整体趋势继续下钻到资源池、集群和具体资源。</w:t>
      </w:r>
    </w:p>
    <w:bookmarkEnd w:id="34"/>
    <w:bookmarkStart w:id="35" w:name="用量分析从总量变化定位到具体责任对象"/>
    <w:p>
      <w:pPr>
        <w:pStyle w:val="Heading2"/>
      </w:pPr>
      <w:r>
        <w:t xml:space="preserve">4.2 用量分析：从总量变化定位到具体责任对象</w:t>
      </w:r>
    </w:p>
    <w:p>
      <w:pPr>
        <w:pStyle w:val="FirstParagraph"/>
      </w:pPr>
      <w:r>
        <w:t xml:space="preserve">以业务视角为入口，一次分析回答四个问题：</w:t>
      </w:r>
      <w:r>
        <w:rPr>
          <w:bCs/>
          <w:b/>
        </w:rPr>
        <w:t xml:space="preserve">用了多少</w:t>
      </w:r>
      <w:r>
        <w:t xml:space="preserve">（汇总当前用量与费用）→</w:t>
      </w:r>
      <w:r>
        <w:t xml:space="preserve"> </w:t>
      </w:r>
      <w:r>
        <w:rPr>
          <w:bCs/>
          <w:b/>
        </w:rPr>
        <w:t xml:space="preserve">变化如何</w:t>
      </w:r>
      <w:r>
        <w:t xml:space="preserve">（趋势、同比与环比）→</w:t>
      </w:r>
      <w:r>
        <w:t xml:space="preserve"> </w:t>
      </w:r>
      <w:r>
        <w:rPr>
          <w:bCs/>
          <w:b/>
        </w:rPr>
        <w:t xml:space="preserve">花在哪里</w:t>
      </w:r>
      <w:r>
        <w:t xml:space="preserve">（分布、排行与构成）→</w:t>
      </w:r>
      <w:r>
        <w:t xml:space="preserve"> </w:t>
      </w:r>
      <w:r>
        <w:rPr>
          <w:bCs/>
          <w:b/>
        </w:rPr>
        <w:t xml:space="preserve">由谁负责</w:t>
      </w:r>
      <w:r>
        <w:t xml:space="preserve">（下钻到部门、项目、租户与具体资源）。</w:t>
      </w:r>
    </w:p>
    <w:p>
      <w:pPr>
        <w:pStyle w:val="BodyText"/>
      </w:pPr>
      <w:r>
        <w:t xml:space="preserve">支持业务、业务组、部门、项目、区域和资源六种分析视角；结合同比、环比与多对象对比识别异常变化；从费用趋势和成本分布逐级查看构成与明细。</w:t>
      </w:r>
    </w:p>
    <w:bookmarkEnd w:id="35"/>
    <w:bookmarkStart w:id="36" w:name="风险控制预算基线与用量告警"/>
    <w:p>
      <w:pPr>
        <w:pStyle w:val="Heading2"/>
      </w:pPr>
      <w:r>
        <w:t xml:space="preserve">4.3 风险控制：预算、基线与用量告警</w:t>
      </w:r>
    </w:p>
    <w:p>
      <w:pPr>
        <w:pStyle w:val="FirstParagraph"/>
      </w:pPr>
      <w:r>
        <w:t xml:space="preserve">按业务、项目和责任组织配置预算周期、告警阈值与用量基线，识别超额、突增和持续偏离，形成可跟踪的告警记录。统一查看告警数量、等级和责任对象；区分费用阈值、使用率和基线偏离三类告警；记录持续时间、负责人和处理状态，让每一条告警都有闭环。</w:t>
      </w:r>
    </w:p>
    <w:bookmarkEnd w:id="36"/>
    <w:bookmarkStart w:id="37" w:name="成本治理归集分摊与核算"/>
    <w:p>
      <w:pPr>
        <w:pStyle w:val="Heading2"/>
      </w:pPr>
      <w:r>
        <w:t xml:space="preserve">4.4 成本治理：归集、分摊与核算</w:t>
      </w:r>
    </w:p>
    <w:p>
      <w:pPr>
        <w:pStyle w:val="FirstParagraph"/>
      </w:pPr>
      <w:r>
        <w:t xml:space="preserve">将资源与业务、租户、项目和部门关联，归集可直接对应的资源费用；</w:t>
      </w:r>
      <w:r>
        <w:rPr>
          <w:bCs/>
          <w:b/>
        </w:rPr>
        <w:t xml:space="preserve">网络、负载等共享资源依据实际流量占比自动分摊到业务</w:t>
      </w:r>
      <w:r>
        <w:t xml:space="preserve">；</w:t>
      </w:r>
      <w:r>
        <w:rPr>
          <w:bCs/>
          <w:b/>
        </w:rPr>
        <w:t xml:space="preserve">电量与电费独立核算</w:t>
      </w:r>
      <w:r>
        <w:t xml:space="preserve">，计入业务成本构成。统一查看额度、已用、剩余和使用率，以用量展示（Showback）为基础支持预算核对和超额提醒，为走向内部结算（Chargeback）奠定基础。</w:t>
      </w:r>
    </w:p>
    <w:bookmarkEnd w:id="37"/>
    <w:bookmarkStart w:id="38" w:name="优化执行面向约束条件的资源优化任务"/>
    <w:p>
      <w:pPr>
        <w:pStyle w:val="Heading2"/>
      </w:pPr>
      <w:r>
        <w:t xml:space="preserve">4.5 优化执行：面向约束条件的资源优化任务</w:t>
      </w:r>
    </w:p>
    <w:p>
      <w:pPr>
        <w:pStyle w:val="FirstParagraph"/>
      </w:pPr>
      <w:r>
        <w:t xml:space="preserve">这是平台区别于</w:t>
      </w:r>
      <w:r>
        <w:t xml:space="preserve">“</w:t>
      </w:r>
      <w:r>
        <w:t xml:space="preserve">只分析、不落地</w:t>
      </w:r>
      <w:r>
        <w:t xml:space="preserve">”</w:t>
      </w:r>
      <w:r>
        <w:t xml:space="preserve">方案的核心能力。按平台与分析范围创建任务，系统基于持续监控数据将资源自动分为三类：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闲置资源</w:t>
      </w:r>
      <w:r>
        <w:t xml:space="preserve">——长期无真实流量，建议回收；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低载资源</w:t>
      </w:r>
      <w:r>
        <w:t xml:space="preserve">——使用率偏低但仍承载业务，建议降配；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正常资源</w:t>
      </w:r>
      <w:r>
        <w:t xml:space="preserve">——保持原配置，参与整合迁移。</w:t>
      </w:r>
    </w:p>
    <w:p>
      <w:pPr>
        <w:pStyle w:val="FirstParagraph"/>
      </w:pPr>
      <w:r>
        <w:t xml:space="preserve">优化建议不是</w:t>
      </w:r>
      <w:r>
        <w:t xml:space="preserve">“</w:t>
      </w:r>
      <w:r>
        <w:t xml:space="preserve">应该回收</w:t>
      </w:r>
      <w:r>
        <w:t xml:space="preserve">”</w:t>
      </w:r>
      <w:r>
        <w:t xml:space="preserve">一句话，而是可执行的完整方案：以可用区为求解范围，自动计算</w:t>
      </w:r>
      <w:r>
        <w:t xml:space="preserve">“</w:t>
      </w:r>
      <w:r>
        <w:t xml:space="preserve">虚机 → 目标宿主机</w:t>
      </w:r>
      <w:r>
        <w:t xml:space="preserve">”</w:t>
      </w:r>
      <w:r>
        <w:t xml:space="preserve">的整合路径，</w:t>
      </w:r>
      <w:r>
        <w:rPr>
          <w:bCs/>
          <w:b/>
        </w:rPr>
        <w:t xml:space="preserve">将零散负载归拢到少数设备、腾出整机下架</w:t>
      </w:r>
      <w:r>
        <w:t xml:space="preserve">；同时逐台校验运行约束——不跨可用区、调度域（Pod）匹配、CPU 型号兼容、网络增强特性一致、目标容量充足——</w:t>
      </w:r>
      <w:r>
        <w:rPr>
          <w:bCs/>
          <w:b/>
        </w:rPr>
        <w:t xml:space="preserve">只输出真实可执行的迁移方案</w:t>
      </w:r>
      <w:r>
        <w:t xml:space="preserve">，并保留判断依据供执行前复核。任务支持创建、执行、状态查看与重跑；落不了位的资源给出具体原因，不让运维反复排查。</w:t>
      </w:r>
    </w:p>
    <w:p>
      <w:pPr>
        <w:pStyle w:val="BodyText"/>
      </w:pPr>
      <w:r>
        <w:t xml:space="preserve">在多租户私有云环境中，平台支持</w:t>
      </w:r>
      <w:r>
        <w:rPr>
          <w:bCs/>
          <w:b/>
        </w:rPr>
        <w:t xml:space="preserve">每租户独立凭证接入</w:t>
      </w:r>
      <w:r>
        <w:t xml:space="preserve">：每把凭证只采集本租户的资源与性能数据，报告按租户、项目拆分汇总，可直接发各租户核对执行。</w:t>
      </w:r>
    </w:p>
    <w:bookmarkEnd w:id="38"/>
    <w:bookmarkStart w:id="39" w:name="用量报告面向不同角色交付分析与治理结果"/>
    <w:p>
      <w:pPr>
        <w:pStyle w:val="Heading2"/>
      </w:pPr>
      <w:r>
        <w:t xml:space="preserve">4.6 用量报告：面向不同角色交付分析与治理结果</w:t>
      </w:r>
    </w:p>
    <w:p>
      <w:pPr>
        <w:pStyle w:val="FirstParagraph"/>
      </w:pPr>
      <w:r>
        <w:t xml:space="preserve">将用量趋势、成本构成、异常对象和优化任务结果汇总为可交付报告：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管理视角</w:t>
      </w:r>
      <w:r>
        <w:t xml:space="preserve">——多平台用量、成本与治理进度全景；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运营视角</w:t>
      </w:r>
      <w:r>
        <w:t xml:space="preserve">——闲置、低载、迁移和释放清单，含逐台处置建议；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业务与租户视角</w:t>
      </w:r>
      <w:r>
        <w:t xml:space="preserve">——按租户、项目拆分结果，便于责任方核对和实施。</w:t>
      </w:r>
    </w:p>
    <w:p>
      <w:pPr>
        <w:pStyle w:val="FirstParagraph"/>
      </w:pPr>
      <w:r>
        <w:t xml:space="preserve">报告支持一键生成与导出，让每项结论都能落到具体责任对象。</w:t>
      </w:r>
    </w:p>
    <w:bookmarkEnd w:id="39"/>
    <w:bookmarkStart w:id="40" w:name="多平台覆盖同一套方法管所有平台"/>
    <w:p>
      <w:pPr>
        <w:pStyle w:val="Heading2"/>
      </w:pPr>
      <w:r>
        <w:t xml:space="preserve">4.7 多平台覆盖：同一套方法，管所有平台</w:t>
      </w:r>
    </w:p>
    <w:tbl>
      <w:tblPr>
        <w:tblStyle w:val="Table"/>
        <w:tblW w:type="pct" w:w="0.0"/>
        <w:tblLook w:firstRow="1" w:lastRow="0" w:firstColumn="0" w:lastColumn="0" w:noHBand="0" w:noVBand="0" w:val="0020"/>
      </w:tblPr>
      <w:tblGrid/>
      <w:tr>
        <w:tc>
          <w:p>
            <w:pPr>
              <w:pStyle w:val="Compact"/>
              <w:jc w:val="left"/>
            </w:pPr>
            <w:r>
              <w:t xml:space="preserve">平台类型</w:t>
            </w:r>
          </w:p>
        </w:tc>
        <w:tc>
          <w:p>
            <w:pPr>
              <w:pStyle w:val="Compact"/>
              <w:jc w:val="left"/>
            </w:pPr>
            <w:r>
              <w:t xml:space="preserve">覆盖内容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虚拟化平台</w:t>
            </w:r>
          </w:p>
        </w:tc>
        <w:tc>
          <w:p>
            <w:pPr>
              <w:pStyle w:val="Compact"/>
              <w:jc w:val="left"/>
            </w:pPr>
            <w:r>
              <w:t xml:space="preserve">VMware、云弘等超融合/虚拟化环境，集群 → 宿主机 → 虚拟机层级与性能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私有云</w:t>
            </w:r>
          </w:p>
        </w:tc>
        <w:tc>
          <w:p>
            <w:pPr>
              <w:pStyle w:val="Compact"/>
              <w:jc w:val="left"/>
            </w:pPr>
            <w:r>
              <w:t xml:space="preserve">华为云 HCSO、阿里云、腾讯云、UCloud 行业云等，租户/项目/可用区维度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容器平台</w:t>
            </w:r>
          </w:p>
        </w:tc>
        <w:tc>
          <w:p>
            <w:pPr>
              <w:pStyle w:val="Compact"/>
              <w:jc w:val="left"/>
            </w:pPr>
            <w:r>
              <w:t xml:space="preserve">Kubernetes 集群 → 节点 → 命名空间 → 工作负载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物理基础设施</w:t>
            </w:r>
          </w:p>
        </w:tc>
        <w:tc>
          <w:p>
            <w:pPr>
              <w:pStyle w:val="Compact"/>
              <w:jc w:val="left"/>
            </w:pPr>
            <w:r>
              <w:t xml:space="preserve">物理服务器配置、性能与电量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网络与负载设备</w:t>
            </w:r>
          </w:p>
        </w:tc>
        <w:tc>
          <w:p>
            <w:pPr>
              <w:pStyle w:val="Compact"/>
              <w:jc w:val="left"/>
            </w:pPr>
            <w:r>
              <w:t xml:space="preserve">网络设备、负载均衡设备的流量、配置与共享分摊</w:t>
            </w:r>
          </w:p>
        </w:tc>
      </w:tr>
    </w:tbl>
    <w:bookmarkEnd w:id="40"/>
    <w:bookmarkEnd w:id="41"/>
    <w:bookmarkStart w:id="42" w:name="五六步分析流程从多源数据到治理结果"/>
    <w:p>
      <w:pPr>
        <w:pStyle w:val="Heading1"/>
      </w:pPr>
      <w:r>
        <w:t xml:space="preserve">五、六步分析流程：从多源数据到治理结果</w:t>
      </w:r>
    </w:p>
    <w:p>
      <w:pPr>
        <w:pStyle w:val="FirstParagraph"/>
      </w:pPr>
      <w:r>
        <w:rPr>
          <w:bCs/>
          <w:b/>
        </w:rPr>
        <w:t xml:space="preserve">第 1 步 接入多源数据</w:t>
      </w:r>
      <w:r>
        <w:t xml:space="preserve">：连接虚拟化、云、容器及基础设施管理平台，汇集资源、性能、组织与费用数据。</w:t>
      </w:r>
    </w:p>
    <w:p>
      <w:pPr>
        <w:pStyle w:val="BodyText"/>
      </w:pPr>
      <w:r>
        <w:rPr>
          <w:bCs/>
          <w:b/>
        </w:rPr>
        <w:t xml:space="preserve">第 2 步 统一对象与口径</w:t>
      </w:r>
      <w:r>
        <w:t xml:space="preserve">：统一资源标识、层级关系、指标时间和费用口径，建立可持续更新的对象底账。</w:t>
      </w:r>
    </w:p>
    <w:p>
      <w:pPr>
        <w:pStyle w:val="BodyText"/>
      </w:pPr>
      <w:r>
        <w:rPr>
          <w:bCs/>
          <w:b/>
        </w:rPr>
        <w:t xml:space="preserve">第 3 步 关联业务与组织</w:t>
      </w:r>
      <w:r>
        <w:t xml:space="preserve">：将资源映射到业务、部门、项目、租户和责任对象，为用量归因建立完整关系。</w:t>
      </w:r>
    </w:p>
    <w:p>
      <w:pPr>
        <w:pStyle w:val="BodyText"/>
      </w:pPr>
      <w:r>
        <w:rPr>
          <w:bCs/>
          <w:b/>
        </w:rPr>
        <w:t xml:space="preserve">第 4 步 分析用量与成本</w:t>
      </w:r>
      <w:r>
        <w:t xml:space="preserve">：查看趋势、分布、周期变化和共享资源分摊，定位异常、闲置、低载与成本偏差。</w:t>
      </w:r>
    </w:p>
    <w:p>
      <w:pPr>
        <w:pStyle w:val="BodyText"/>
      </w:pPr>
      <w:r>
        <w:rPr>
          <w:bCs/>
          <w:b/>
        </w:rPr>
        <w:t xml:space="preserve">第 5 步 形成治理任务</w:t>
      </w:r>
      <w:r>
        <w:t xml:space="preserve">：结合平台特征与执行约束（可用区、容量、兼容性），形成告警核对、回收、降配、整合或责任确认任务。</w:t>
      </w:r>
    </w:p>
    <w:p>
      <w:pPr>
        <w:pStyle w:val="BodyText"/>
      </w:pPr>
      <w:r>
        <w:rPr>
          <w:bCs/>
          <w:b/>
        </w:rPr>
        <w:t xml:space="preserve">第 6 步 交付报告并复盘</w:t>
      </w:r>
      <w:r>
        <w:t xml:space="preserve">：记录任务状态和资源变化，面向管理、运营及业务责任方输出对应报告，持续复盘。</w:t>
      </w:r>
    </w:p>
    <w:bookmarkEnd w:id="42"/>
    <w:bookmarkStart w:id="43" w:name="六技术架构"/>
    <w:p>
      <w:pPr>
        <w:pStyle w:val="Heading1"/>
      </w:pPr>
      <w:r>
        <w:t xml:space="preserve">六、技术架构</w:t>
      </w:r>
    </w:p>
    <w:p>
      <w:pPr>
        <w:pStyle w:val="FirstParagraph"/>
      </w:pPr>
      <w:r>
        <w:t xml:space="preserve">方案采用五层分层解耦架构：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数据采集层</w:t>
      </w:r>
      <w:r>
        <w:t xml:space="preserve">：nCompass 全量网络流量镜像采集（旁路部署，零业务侵入，单节点 40Gbps 线速处理）；虚拟化、私有云、容器及基础设施管理平台的资源与性能接口；负载均衡配置与拓扑数据；CMDB、IT 资产管理、财务、动环系统数据接入。全部采集方式均为无侵入式设计。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数据处理与建模层</w:t>
      </w:r>
      <w:r>
        <w:t xml:space="preserve">：基于 TBM 统一分类法构建 IT 资源用量数据湖，将多源异构数据映射到统一数据模型，处理不同平台的指标名称、采样周期、资源层级与费用口径差异。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AI 分析与智能引擎层</w:t>
      </w:r>
      <w:r>
        <w:t xml:space="preserve">：机器学习引擎负责用量趋势预测、异常检测、闲置资源识别和优化推荐；生成式 AI 引擎提供自然语言交互查询和智能报告生成。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应用服务与 API 层</w:t>
      </w:r>
      <w:r>
        <w:t xml:space="preserve">：微服务架构，标准化开放接口，可与现有 BI 系统、自动化运维平台和外部审计系统集成对接。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展示与交互层</w:t>
      </w:r>
      <w:r>
        <w:t xml:space="preserve">：可定制仪表盘，支持分角色视图——管理层概览、运营明细、业务账单、资源优化报告（一键生成与导出）。</w:t>
      </w:r>
    </w:p>
    <w:p>
      <w:pPr>
        <w:pStyle w:val="FirstParagraph"/>
      </w:pPr>
      <w:r>
        <w:rPr>
          <w:bCs/>
          <w:b/>
        </w:rPr>
        <w:t xml:space="preserve">部署与国产化适配</w:t>
      </w:r>
      <w:r>
        <w:t xml:space="preserve">：整个架构支持完全离线私有化部署，数据不出企业内网；全部件支持国产 CPU 架构（鲲鹏、飞腾）和国产操作系统（麒麟、统信）。</w:t>
      </w:r>
    </w:p>
    <w:bookmarkEnd w:id="43"/>
    <w:bookmarkStart w:id="47" w:name="七应用场景与角色价值"/>
    <w:p>
      <w:pPr>
        <w:pStyle w:val="Heading1"/>
      </w:pPr>
      <w:r>
        <w:t xml:space="preserve">七、应用场景与角色价值</w:t>
      </w:r>
    </w:p>
    <w:bookmarkStart w:id="44" w:name="ciocto从凭经验拍板到看数据决策"/>
    <w:p>
      <w:pPr>
        <w:pStyle w:val="Heading2"/>
      </w:pPr>
      <w:r>
        <w:t xml:space="preserve">7.1 CIO/CTO：从凭经验拍板到看数据决策</w:t>
      </w:r>
    </w:p>
    <w:p>
      <w:pPr>
        <w:pStyle w:val="FirstParagraph"/>
      </w:pPr>
      <w:r>
        <w:t xml:space="preserve">直观展示各业务线的 IT 资源投入、用量与业务产出的关联关系，用数据诠释 IT 投资回报；为年度预算规划和重大投资决策提供基于事实而非估算的数据支持；用量与治理进度一页掌握，支撑 IT 部门从成本中心向价值中心转型。</w:t>
      </w:r>
    </w:p>
    <w:bookmarkEnd w:id="44"/>
    <w:bookmarkStart w:id="45" w:name="it-运营团队从被动救火到主动优化"/>
    <w:p>
      <w:pPr>
        <w:pStyle w:val="Heading2"/>
      </w:pPr>
      <w:r>
        <w:t xml:space="preserve">7.2 IT 运营团队：从被动救火到主动优化</w:t>
      </w:r>
    </w:p>
    <w:p>
      <w:pPr>
        <w:pStyle w:val="FirstParagraph"/>
      </w:pPr>
      <w:r>
        <w:t xml:space="preserve">多平台资源统一监控，宿主机下钻虚机，CPU/内存/磁盘/网络/流量趋势尽在掌握；一键创建优化任务，自动生成闲置/低载清单、整合路径与下架方案，预估每月节省金额；任务状态全程跟踪，变</w:t>
      </w:r>
      <w:r>
        <w:t xml:space="preserve">“</w:t>
      </w:r>
      <w:r>
        <w:t xml:space="preserve">人肉排查</w:t>
      </w:r>
      <w:r>
        <w:t xml:space="preserve">”</w:t>
      </w:r>
      <w:r>
        <w:t xml:space="preserve">为常态化自动化运营。</w:t>
      </w:r>
    </w:p>
    <w:bookmarkEnd w:id="45"/>
    <w:bookmarkStart w:id="46" w:name="业务与财务部门从糊涂账到透明账单"/>
    <w:p>
      <w:pPr>
        <w:pStyle w:val="Heading2"/>
      </w:pPr>
      <w:r>
        <w:t xml:space="preserve">7.3 业务与财务部门：从糊涂账到透明账单</w:t>
      </w:r>
    </w:p>
    <w:p>
      <w:pPr>
        <w:pStyle w:val="FirstParagraph"/>
      </w:pPr>
      <w:r>
        <w:t xml:space="preserve">业务部门按部门、项目、租户查看自己的用量与成本构成，建立成本意识；财务部门获得基于实际用量的分摊数据——共享网络、负载设备等资源成本按实际流量占比动态分摊，电量电费独立核算，支撑精准预算编制和业财技一体化。</w:t>
      </w:r>
    </w:p>
    <w:bookmarkEnd w:id="46"/>
    <w:bookmarkEnd w:id="47"/>
    <w:bookmarkStart w:id="48" w:name="八实施路径"/>
    <w:p>
      <w:pPr>
        <w:pStyle w:val="Heading1"/>
      </w:pPr>
      <w:r>
        <w:t xml:space="preserve">八、实施路径</w:t>
      </w:r>
    </w:p>
    <w:p>
      <w:pPr>
        <w:pStyle w:val="FirstParagraph"/>
      </w:pPr>
      <w:r>
        <w:t xml:space="preserve">智维数据采用三阶段递进式实施路径，确保用量治理能力稳步构建，避免冒进风险。</w:t>
      </w:r>
    </w:p>
    <w:p>
      <w:pPr>
        <w:pStyle w:val="BodyText"/>
      </w:pPr>
      <w:r>
        <w:rPr>
          <w:bCs/>
          <w:b/>
        </w:rPr>
        <w:t xml:space="preserve">阶段一：基础构建与全景透明（1–3 个月）</w:t>
      </w:r>
      <w:r>
        <w:t xml:space="preserve">。完成各平台数据接入与对象建模，部署 nCompass 探针与负载均衡对接，运行 2 至 4 周建立全量资源用量基线。交付物：资源底账清单、数据质量评估报告、初步利用率基线。</w:t>
      </w:r>
    </w:p>
    <w:p>
      <w:pPr>
        <w:pStyle w:val="BodyText"/>
      </w:pPr>
      <w:r>
        <w:rPr>
          <w:bCs/>
          <w:b/>
        </w:rPr>
        <w:t xml:space="preserve">阶段二：业务归因与价值对齐（3–6 个月）</w:t>
      </w:r>
      <w:r>
        <w:t xml:space="preserve">。配置标签治理体系与共享资源分摊规则，启动 AI 数据缝合引擎建立跨系统实体关联；发布首版面向业务部门与租户的资源用量账单，建立</w:t>
      </w:r>
      <w:r>
        <w:t xml:space="preserve">“</w:t>
      </w:r>
      <w:r>
        <w:t xml:space="preserve">月度运营回顾</w:t>
      </w:r>
      <w:r>
        <w:t xml:space="preserve">”</w:t>
      </w:r>
      <w:r>
        <w:t xml:space="preserve">机制。交付物：分摊规则配置、首版 Showback 报告、优化建议清单。</w:t>
      </w:r>
    </w:p>
    <w:p>
      <w:pPr>
        <w:pStyle w:val="BodyText"/>
      </w:pPr>
      <w:r>
        <w:rPr>
          <w:bCs/>
          <w:b/>
        </w:rPr>
        <w:t xml:space="preserve">阶段三：智能优化与持续运营（6–12 个月）</w:t>
      </w:r>
      <w:r>
        <w:t xml:space="preserve">。启动优化任务闭环——闲置回收、低载降配、宿主机整合下架；实现报告自动生成与治理进度跟踪；建立资源效能 KPI 体系，试点 Chargeback 内部结算。交付物：优化成效报告、资源效能 KPI 仪表盘。</w:t>
      </w:r>
    </w:p>
    <w:bookmarkEnd w:id="48"/>
    <w:bookmarkStart w:id="49" w:name="九差异化优势"/>
    <w:p>
      <w:pPr>
        <w:pStyle w:val="Heading1"/>
      </w:pPr>
      <w:r>
        <w:t xml:space="preserve">九、差异化优势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事实锚点，而非台账记录</w:t>
      </w:r>
      <w:r>
        <w:t xml:space="preserve">：以旁路流量和平台接口的真实数据为独立锚点，不受应用日志配置与采集代理部署的影响，核心系统零侵入即可纳入治理范围。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不止发现，更能执行</w:t>
      </w:r>
      <w:r>
        <w:t xml:space="preserve">：从</w:t>
      </w:r>
      <w:r>
        <w:t xml:space="preserve">“</w:t>
      </w:r>
      <w:r>
        <w:t xml:space="preserve">发现浪费</w:t>
      </w:r>
      <w:r>
        <w:t xml:space="preserve">”</w:t>
      </w:r>
      <w:r>
        <w:t xml:space="preserve">到</w:t>
      </w:r>
      <w:r>
        <w:t xml:space="preserve">“</w:t>
      </w:r>
      <w:r>
        <w:t xml:space="preserve">给出可执行的迁移方案</w:t>
      </w:r>
      <w:r>
        <w:t xml:space="preserve">”</w:t>
      </w:r>
      <w:r>
        <w:t xml:space="preserve">再到</w:t>
      </w:r>
      <w:r>
        <w:t xml:space="preserve">“</w:t>
      </w:r>
      <w:r>
        <w:t xml:space="preserve">下架清单与节省金额量化</w:t>
      </w:r>
      <w:r>
        <w:t xml:space="preserve">”</w:t>
      </w:r>
      <w:r>
        <w:t xml:space="preserve">，内置可用区、调度域、CPU 型号、网络增强、容量等运行约束校验，只输出落地可行的方案。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多租户内生</w:t>
      </w:r>
      <w:r>
        <w:t xml:space="preserve">：租户/项目维度的资源归属、独立凭证接入与拆分报告是产品原生能力，而非后期补丁。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AI 深度融入</w:t>
      </w:r>
      <w:r>
        <w:t xml:space="preserve">：AI 缝合引擎自动完成跨系统数据关联，自然语言查询让管理者直接提问</w:t>
      </w:r>
      <w:r>
        <w:t xml:space="preserve">“</w:t>
      </w:r>
      <w:r>
        <w:t xml:space="preserve">过去 60 天 CPU 利用率低于 10% 的机器有哪些</w:t>
      </w:r>
      <w:r>
        <w:t xml:space="preserve">”</w:t>
      </w:r>
      <w:r>
        <w:t xml:space="preserve">，即时返回清单。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国产化与本地化服务</w:t>
      </w:r>
      <w:r>
        <w:t xml:space="preserve">：全部件支持国产 CPU（鲲鹏、飞腾）与国产操作系统（麒麟、统信）；完全离线私有化部署，数据不出企业内网；本地化 7×24 原厂服务。</w:t>
      </w:r>
    </w:p>
    <w:bookmarkEnd w:id="49"/>
    <w:bookmarkStart w:id="50" w:name="十启动您的用量治理之旅"/>
    <w:p>
      <w:pPr>
        <w:pStyle w:val="Heading1"/>
      </w:pPr>
      <w:r>
        <w:t xml:space="preserve">十、启动您的用量治理之旅</w:t>
      </w:r>
    </w:p>
    <w:p>
      <w:pPr>
        <w:pStyle w:val="FirstParagraph"/>
      </w:pPr>
      <w:r>
        <w:t xml:space="preserve">IT 资源管理模式的转型已经从</w:t>
      </w:r>
      <w:r>
        <w:t xml:space="preserve">“</w:t>
      </w:r>
      <w:r>
        <w:t xml:space="preserve">可选项</w:t>
      </w:r>
      <w:r>
        <w:t xml:space="preserve">”</w:t>
      </w:r>
      <w:r>
        <w:t xml:space="preserve">变为应对成本、效率和战略挑战的</w:t>
      </w:r>
      <w:r>
        <w:t xml:space="preserve">“</w:t>
      </w:r>
      <w:r>
        <w:t xml:space="preserve">必选项</w:t>
      </w:r>
      <w:r>
        <w:t xml:space="preserve">”</w:t>
      </w:r>
      <w:r>
        <w:t xml:space="preserve">。我们建议您采取以下三步行动。</w:t>
      </w:r>
    </w:p>
    <w:p>
      <w:pPr>
        <w:pStyle w:val="BodyText"/>
      </w:pPr>
      <w:r>
        <w:rPr>
          <w:bCs/>
          <w:b/>
        </w:rPr>
        <w:t xml:space="preserve">第一步：发起资源全景盘点</w:t>
      </w:r>
      <w:r>
        <w:t xml:space="preserve">。回答三个基线问题——全网资源能否在一张视图中看全？共享网络带宽的各业务消耗占比能否说清？闲置与低载资源能否给出逐台处置方案？如果无法在 48 小时内提供数据化答案，说明资源管理基线亟需建立。</w:t>
      </w:r>
    </w:p>
    <w:p>
      <w:pPr>
        <w:pStyle w:val="BodyText"/>
      </w:pPr>
      <w:r>
        <w:rPr>
          <w:bCs/>
          <w:b/>
        </w:rPr>
        <w:t xml:space="preserve">第二步：建立用量与成本基线</w:t>
      </w:r>
      <w:r>
        <w:t xml:space="preserve">。基于全量数据采集，建立关键指标基线——资源整体利用率、闲置资源占比、共享资源归因覆盖率。设定明确目标：整体利用率持续提升，闲置资源占比控制在 3% 以下，所有共享资源均可追溯归因。</w:t>
      </w:r>
    </w:p>
    <w:p>
      <w:pPr>
        <w:pStyle w:val="BodyText"/>
      </w:pPr>
      <w:r>
        <w:rPr>
          <w:bCs/>
          <w:b/>
        </w:rPr>
        <w:t xml:space="preserve">第三步：将治理纳入常态化运营 KPI</w:t>
      </w:r>
      <w:r>
        <w:t xml:space="preserve">。从月度 Showback 报告起步，在 6 至 12 个月内建立季度 Chargeback 机制；将优化任务执行率与节省金额纳入 IT 运营团队的绩效指标，形成</w:t>
      </w:r>
      <w:r>
        <w:t xml:space="preserve">“</w:t>
      </w:r>
      <w:r>
        <w:t xml:space="preserve">度量 → 优化 → 验证</w:t>
      </w:r>
      <w:r>
        <w:t xml:space="preserve">”</w:t>
      </w:r>
      <w:r>
        <w:t xml:space="preserve">的持续改进闭环。</w:t>
      </w:r>
    </w:p>
    <w:p>
      <w:pPr>
        <w:pStyle w:val="BlockText"/>
      </w:pPr>
      <w:r>
        <w:t xml:space="preserve">“</w:t>
      </w:r>
      <w:r>
        <w:t xml:space="preserve">智维数据资源用量分析平台，是您实现 IT 资源透明化治理的可靠伙伴。我们愿与您携手，先看清资源与业务关系，再看懂谁在使用、用了多少、成本归在哪里——让每一分技术投入都看得见、说得清、管得住。</w:t>
      </w:r>
      <w:r>
        <w:t xml:space="preserve">”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联系我们</w:t>
      </w:r>
    </w:p>
    <w:p>
      <w:pPr>
        <w:pStyle w:val="BodyText"/>
      </w:pPr>
      <w:r>
        <w:t xml:space="preserve">全国统一服务热线：400-666-8216</w:t>
      </w:r>
    </w:p>
    <w:p>
      <w:pPr>
        <w:pStyle w:val="BodyText"/>
      </w:pPr>
      <w:r>
        <w:t xml:space="preserve">官方网站：www.ncmps.com</w:t>
      </w:r>
    </w:p>
    <w:p>
      <w:pPr>
        <w:pStyle w:val="BodyText"/>
      </w:pPr>
      <w:r>
        <w:rPr>
          <w:iCs/>
          <w:i/>
        </w:rPr>
        <w:t xml:space="preserve">本文档版权归北京智维盈讯网络科技有限公司所有，未经授权不得复制或传播</w:t>
      </w:r>
    </w:p>
    <w:bookmarkEnd w:id="50"/>
    <w:sectPr w:rsidR="00FC693F" w:rsidRPr="0006063C" w:rsidSect="00034616">
      <w:headerReference w:type="default" r:id="rId9"/>
      <w:footerReference w:type="default" r:id="rId10"/>
      <w:pgSz w:w="11906" w:h="16838"/>
      <w:pgMar w:top="1417" w:right="1587" w:bottom="1417" w:left="1587" w:header="720" w:footer="720" w:gutter="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微软雅黑"/>
        <w:b w:val="0"/>
        <w:color w:val="595959"/>
        <w:sz w:val="16"/>
      </w:rPr>
      <w:t xml:space="preserve">北京智维盈讯网络科技有限公司（智维数据） · www.ncmps.com · 400-666-8216    第 </w:t>
    </w:r>
    <w:r>
      <w:rPr>
        <w:rFonts w:ascii="Times New Roman" w:hAnsi="Times New Roman" w:eastAsia="宋体"/>
        <w:b w:val="0"/>
        <w:color w:val="595959"/>
        <w:sz w:val="16"/>
      </w:rPr>
      <w:fldChar w:fldCharType="begin"/>
      <w:instrText xml:space="preserve">PAGE</w:instrText>
      <w:fldChar w:fldCharType="end"/>
    </w:r>
    <w:r>
      <w:rPr>
        <w:rFonts w:ascii="Times New Roman" w:hAnsi="Times New Roman" w:eastAsia="微软雅黑"/>
        <w:b w:val="0"/>
        <w:color w:val="595959"/>
        <w:sz w:val="16"/>
      </w:rPr>
      <w:t xml:space="preserve"> 页</w:t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Times New Roman" w:hAnsi="Times New Roman" w:eastAsia="微软雅黑"/>
        <w:b w:val="0"/>
        <w:color w:val="595959"/>
        <w:sz w:val="16"/>
      </w:rPr>
      <w:t>资源用量分析平台 · 用户白皮书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90">
    <w:nsid w:val="2c1ae401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36" w:lineRule="auto" w:after="80"/>
    </w:pPr>
    <w:rPr>
      <w:rFonts w:ascii="Times New Roman" w:hAnsi="Times New Roman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00" w:after="240" w:line="288" w:lineRule="auto"/>
      <w:outlineLvl w:val="0"/>
    </w:pPr>
    <w:rPr>
      <w:rFonts w:asciiTheme="majorHAnsi" w:eastAsiaTheme="majorEastAsia" w:hAnsiTheme="majorHAnsi" w:cstheme="majorBidi" w:ascii="Arial" w:hAnsi="Arial" w:eastAsia="微软雅黑"/>
      <w:b/>
      <w:bCs/>
      <w:color w:val="2B3542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60" w:line="288" w:lineRule="auto"/>
      <w:outlineLvl w:val="1"/>
    </w:pPr>
    <w:rPr>
      <w:rFonts w:asciiTheme="majorHAnsi" w:eastAsiaTheme="majorEastAsia" w:hAnsiTheme="majorHAnsi" w:cstheme="majorBidi" w:ascii="Arial" w:hAnsi="Arial" w:eastAsia="微软雅黑"/>
      <w:b/>
      <w:bCs/>
      <w:color w:val="2B3542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80" w:after="160" w:line="288" w:lineRule="auto"/>
      <w:outlineLvl w:val="2"/>
    </w:pPr>
    <w:rPr>
      <w:rFonts w:asciiTheme="majorHAnsi" w:eastAsiaTheme="majorEastAsia" w:hAnsiTheme="majorHAnsi" w:cstheme="majorBidi" w:ascii="Arial" w:hAnsi="Arial" w:eastAsia="微软雅黑"/>
      <w:b/>
      <w:bCs/>
      <w:color w:val="1B9EA8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Type="http://schemas.openxmlformats.org/officeDocument/2006/relationships/image" Id="rId20" Target="media/rId20.png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2026-10-14T03:23:12Z</dcterms:created>
  <dcterms:modified xsi:type="dcterms:W3CDTF">2026-10-14T03:23:12Z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