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655999" cy="1655999"/>
            <wp:docPr id="1" name="Picture 1"/>
            <wp:cNvGraphicFramePr>
              <a:graphicFrameLocks noChangeAspect="1"/>
            </wp:cNvGraphicFramePr>
            <a:graphic>
              <a:graphicData uri="http://schemas.openxmlformats.org/drawingml/2006/picture">
                <pic:pic>
                  <pic:nvPicPr>
                    <pic:cNvPr id="0" name="公司logo.png"/>
                    <pic:cNvPicPr/>
                  </pic:nvPicPr>
                  <pic:blipFill>
                    <a:blip r:embed="rId11"/>
                    <a:stretch>
                      <a:fillRect/>
                    </a:stretch>
                  </pic:blipFill>
                  <pic:spPr>
                    <a:xfrm>
                      <a:off x="0" y="0"/>
                      <a:ext cx="1655999" cy="1655999"/>
                    </a:xfrm>
                    <a:prstGeom prst="rect"/>
                  </pic:spPr>
                </pic:pic>
              </a:graphicData>
            </a:graphic>
          </wp:inline>
        </w:drawing>
      </w:r>
    </w:p>
    <w:p>
      <w:pPr>
        <w:spacing w:before="480"/>
        <w:jc w:val="center"/>
      </w:pPr>
      <w:r>
        <w:rPr>
          <w:rFonts w:ascii="Times New Roman" w:hAnsi="Times New Roman" w:eastAsia="微软雅黑"/>
          <w:b/>
          <w:color w:val="2B3542"/>
          <w:sz w:val="52"/>
        </w:rPr>
        <w:t>云安全策略分析平台</w:t>
      </w:r>
    </w:p>
    <w:p>
      <w:pPr>
        <w:spacing w:before="120"/>
        <w:jc w:val="center"/>
      </w:pPr>
      <w:r>
        <w:rPr>
          <w:rFonts w:ascii="Times New Roman" w:hAnsi="Times New Roman" w:eastAsia="微软雅黑"/>
          <w:b/>
          <w:color w:val="1B9EA8"/>
          <w:sz w:val="40"/>
        </w:rPr>
        <w:t>用 户 白 皮 书</w:t>
      </w:r>
    </w:p>
    <w:p>
      <w:pPr>
        <w:spacing w:before="600"/>
        <w:jc w:val="center"/>
      </w:pPr>
      <w:r>
        <w:rPr>
          <w:rFonts w:ascii="Times New Roman" w:hAnsi="Times New Roman" w:eastAsia="微软雅黑"/>
          <w:b w:val="0"/>
          <w:color w:val="595959"/>
          <w:sz w:val="24"/>
        </w:rPr>
        <w:t>统一纳管多云安全策略 · 识别问题规则 · 形成可审计的收敛清单</w:t>
      </w:r>
    </w:p>
    <w:p>
      <w:pPr>
        <w:jc w:val="center"/>
      </w:pPr>
      <w:r>
        <w:rPr>
          <w:rFonts w:ascii="Times New Roman" w:hAnsi="Times New Roman" w:eastAsia="微软雅黑"/>
          <w:b/>
          <w:color w:val="2B3542"/>
          <w:sz w:val="26"/>
        </w:rPr>
        <w:t>北京智维盈讯网络科技有限公司（智维数据）</w:t>
      </w:r>
    </w:p>
    <w:p>
      <w:pPr>
        <w:spacing w:before="120"/>
        <w:jc w:val="center"/>
      </w:pPr>
      <w:r>
        <w:rPr>
          <w:rFonts w:ascii="Times New Roman" w:hAnsi="Times New Roman" w:eastAsia="微软雅黑"/>
          <w:b w:val="0"/>
          <w:color w:val="595959"/>
          <w:sz w:val="22"/>
        </w:rPr>
        <w:t>2026 年 10 月</w:t>
      </w:r>
    </w:p>
    <w:p>
      <w:r>
        <w:br w:type="page"/>
      </w:r>
    </w:p>
    <w:p>
      <w:pPr>
        <w:pStyle w:val="Heading1"/>
      </w:pPr>
      <w:r>
        <w:t>文档说明</w:t>
      </w:r>
    </w:p>
    <w:tbl>
      <w:tblPr>
        <w:tblStyle w:val="TableGrid"/>
        <w:tblW w:type="auto" w:w="0"/>
        <w:jc w:val="center"/>
        <w:tblLook w:firstColumn="1" w:firstRow="1" w:lastColumn="0" w:lastRow="0" w:noHBand="0" w:noVBand="1" w:val="04A0"/>
      </w:tblPr>
      <w:tblGrid>
        <w:gridCol w:w="2182"/>
        <w:gridCol w:w="6547"/>
      </w:tblGrid>
      <w:tr>
        <w:tc>
          <w:tcPr>
            <w:tcW w:type="dxa" w:w="2182"/>
            <w:shd w:val="clear" w:fill="2B3542"/>
          </w:tcPr>
          <w:p>
            <w:pPr>
              <w:spacing w:after="40" w:before="40"/>
              <w:jc w:val="center"/>
            </w:pPr>
            <w:r>
              <w:rPr>
                <w:rFonts w:ascii="Times New Roman" w:hAnsi="Times New Roman" w:eastAsia="微软雅黑"/>
                <w:b/>
                <w:color w:val="FFFFFF"/>
                <w:sz w:val="21"/>
              </w:rPr>
              <w:t xml:space="preserve">项目</w:t>
            </w:r>
          </w:p>
        </w:tc>
        <w:tc>
          <w:tcPr>
            <w:tcW w:type="dxa" w:w="6547"/>
            <w:shd w:val="clear" w:fill="2B3542"/>
          </w:tcPr>
          <w:p>
            <w:pPr>
              <w:spacing w:after="40" w:before="40"/>
              <w:jc w:val="center"/>
            </w:pPr>
            <w:r>
              <w:rPr>
                <w:rFonts w:ascii="Times New Roman" w:hAnsi="Times New Roman" w:eastAsia="微软雅黑"/>
                <w:b/>
                <w:color w:val="FFFFFF"/>
                <w:sz w:val="21"/>
              </w:rPr>
              <w:t xml:space="preserve">内容</w:t>
            </w:r>
          </w:p>
        </w:tc>
      </w:tr>
      <w:tr>
        <w:tc>
          <w:tcPr>
            <w:tcW w:type="dxa" w:w="2182"/>
          </w:tcPr>
          <w:p>
            <w:pPr>
              <w:spacing w:after="40" w:before="40"/>
            </w:pPr>
            <w:r>
              <w:rPr>
                <w:rFonts w:ascii="Times New Roman" w:hAnsi="Times New Roman" w:eastAsia="宋体"/>
                <w:b w:val="0"/>
                <w:sz w:val="21"/>
              </w:rPr>
              <w:t xml:space="preserve">文档名称</w:t>
            </w:r>
          </w:p>
        </w:tc>
        <w:tc>
          <w:tcPr>
            <w:tcW w:type="dxa" w:w="6547"/>
          </w:tcPr>
          <w:p>
            <w:pPr>
              <w:spacing w:after="40" w:before="40"/>
            </w:pPr>
            <w:r>
              <w:rPr>
                <w:rFonts w:ascii="Times New Roman" w:hAnsi="Times New Roman" w:eastAsia="宋体"/>
                <w:b w:val="0"/>
                <w:sz w:val="21"/>
              </w:rPr>
              <w:t xml:space="preserve">云安全策略分析平台用户白皮书</w:t>
            </w:r>
          </w:p>
        </w:tc>
      </w:tr>
      <w:tr>
        <w:tc>
          <w:tcPr>
            <w:tcW w:type="dxa" w:w="2182"/>
            <w:shd w:val="clear" w:fill="F2F6F7"/>
          </w:tcPr>
          <w:p>
            <w:pPr>
              <w:spacing w:after="40" w:before="40"/>
            </w:pPr>
            <w:r>
              <w:rPr>
                <w:rFonts w:ascii="Times New Roman" w:hAnsi="Times New Roman" w:eastAsia="宋体"/>
                <w:b w:val="0"/>
                <w:sz w:val="21"/>
              </w:rPr>
              <w:t xml:space="preserve">文档版本</w:t>
            </w:r>
          </w:p>
        </w:tc>
        <w:tc>
          <w:tcPr>
            <w:tcW w:type="dxa" w:w="6547"/>
            <w:shd w:val="clear" w:fill="F2F6F7"/>
          </w:tcPr>
          <w:p>
            <w:pPr>
              <w:spacing w:after="40" w:before="40"/>
            </w:pPr>
            <w:r>
              <w:rPr>
                <w:rFonts w:ascii="Times New Roman" w:hAnsi="Times New Roman" w:eastAsia="宋体"/>
                <w:b w:val="0"/>
                <w:sz w:val="21"/>
              </w:rPr>
              <w:t xml:space="preserve">V1.0</w:t>
            </w:r>
          </w:p>
        </w:tc>
      </w:tr>
      <w:tr>
        <w:tc>
          <w:tcPr>
            <w:tcW w:type="dxa" w:w="2182"/>
          </w:tcPr>
          <w:p>
            <w:pPr>
              <w:spacing w:after="40" w:before="40"/>
            </w:pPr>
            <w:r>
              <w:rPr>
                <w:rFonts w:ascii="Times New Roman" w:hAnsi="Times New Roman" w:eastAsia="宋体"/>
                <w:b w:val="0"/>
                <w:sz w:val="21"/>
              </w:rPr>
              <w:t xml:space="preserve">发布日期</w:t>
            </w:r>
          </w:p>
        </w:tc>
        <w:tc>
          <w:tcPr>
            <w:tcW w:type="dxa" w:w="6547"/>
          </w:tcPr>
          <w:p>
            <w:pPr>
              <w:spacing w:after="40" w:before="40"/>
            </w:pPr>
            <w:r>
              <w:rPr>
                <w:rFonts w:ascii="Times New Roman" w:hAnsi="Times New Roman" w:eastAsia="宋体"/>
                <w:b w:val="0"/>
                <w:sz w:val="21"/>
              </w:rPr>
              <w:t xml:space="preserve">2026 年 10 月</w:t>
            </w:r>
          </w:p>
        </w:tc>
      </w:tr>
      <w:tr>
        <w:tc>
          <w:tcPr>
            <w:tcW w:type="dxa" w:w="2182"/>
            <w:shd w:val="clear" w:fill="F2F6F7"/>
          </w:tcPr>
          <w:p>
            <w:pPr>
              <w:spacing w:after="40" w:before="40"/>
            </w:pPr>
            <w:r>
              <w:rPr>
                <w:rFonts w:ascii="Times New Roman" w:hAnsi="Times New Roman" w:eastAsia="宋体"/>
                <w:b w:val="0"/>
                <w:sz w:val="21"/>
              </w:rPr>
              <w:t xml:space="preserve">编制单位</w:t>
            </w:r>
          </w:p>
        </w:tc>
        <w:tc>
          <w:tcPr>
            <w:tcW w:type="dxa" w:w="6547"/>
            <w:shd w:val="clear" w:fill="F2F6F7"/>
          </w:tcPr>
          <w:p>
            <w:pPr>
              <w:spacing w:after="40" w:before="40"/>
            </w:pPr>
            <w:r>
              <w:rPr>
                <w:rFonts w:ascii="Times New Roman" w:hAnsi="Times New Roman" w:eastAsia="宋体"/>
                <w:b w:val="0"/>
                <w:sz w:val="21"/>
              </w:rPr>
              <w:t xml:space="preserve">北京智维盈讯网络科技有限公司（智维数据）</w:t>
            </w:r>
          </w:p>
        </w:tc>
      </w:tr>
      <w:tr>
        <w:tc>
          <w:tcPr>
            <w:tcW w:type="dxa" w:w="2182"/>
          </w:tcPr>
          <w:p>
            <w:pPr>
              <w:spacing w:after="40" w:before="40"/>
            </w:pPr>
            <w:r>
              <w:rPr>
                <w:rFonts w:ascii="Times New Roman" w:hAnsi="Times New Roman" w:eastAsia="宋体"/>
                <w:b w:val="0"/>
                <w:sz w:val="21"/>
              </w:rPr>
              <w:t xml:space="preserve">适用产品</w:t>
            </w:r>
          </w:p>
        </w:tc>
        <w:tc>
          <w:tcPr>
            <w:tcW w:type="dxa" w:w="6547"/>
          </w:tcPr>
          <w:p>
            <w:pPr>
              <w:spacing w:after="40" w:before="40"/>
            </w:pPr>
            <w:r>
              <w:rPr>
                <w:rFonts w:ascii="Times New Roman" w:hAnsi="Times New Roman" w:eastAsia="宋体"/>
                <w:b w:val="0"/>
                <w:sz w:val="21"/>
              </w:rPr>
              <w:t xml:space="preserve">云安全策略分析平台（策明 POLICYLENS · 多云安全策略治理）</w:t>
            </w:r>
          </w:p>
        </w:tc>
      </w:tr>
      <w:tr>
        <w:tc>
          <w:tcPr>
            <w:tcW w:type="dxa" w:w="2182"/>
            <w:shd w:val="clear" w:fill="F2F6F7"/>
          </w:tcPr>
          <w:p>
            <w:pPr>
              <w:spacing w:after="40" w:before="40"/>
            </w:pPr>
            <w:r>
              <w:rPr>
                <w:rFonts w:ascii="Times New Roman" w:hAnsi="Times New Roman" w:eastAsia="宋体"/>
                <w:b w:val="0"/>
                <w:sz w:val="21"/>
              </w:rPr>
              <w:t xml:space="preserve">文档密级</w:t>
            </w:r>
          </w:p>
        </w:tc>
        <w:tc>
          <w:tcPr>
            <w:tcW w:type="dxa" w:w="6547"/>
            <w:shd w:val="clear" w:fill="F2F6F7"/>
          </w:tcPr>
          <w:p>
            <w:pPr>
              <w:spacing w:after="40" w:before="40"/>
            </w:pPr>
            <w:r>
              <w:rPr>
                <w:rFonts w:ascii="Times New Roman" w:hAnsi="Times New Roman" w:eastAsia="宋体"/>
                <w:b w:val="0"/>
                <w:sz w:val="21"/>
              </w:rPr>
              <w:t xml:space="preserve">公开</w:t>
            </w:r>
          </w:p>
        </w:tc>
      </w:tr>
    </w:tbl>
    <w:p>
      <w:pPr>
        <w:spacing w:after="200"/>
        <w:ind w:firstLine="440"/>
      </w:pPr>
      <w:r>
        <w:rPr>
          <w:rFonts w:ascii="Times New Roman" w:hAnsi="Times New Roman" w:eastAsia="宋体"/>
          <w:b w:val="0"/>
          <w:color w:val="595959"/>
          <w:sz w:val="18"/>
        </w:rPr>
        <w:t xml:space="preserve">版权声明：本文档版权归北京智维盈讯网络科技有限公司所有。本文档内容仅供参考，产品功能以实际交付版本为准。未经本公司书面许可，任何单位或个人不得复制、传播或用于其他商业用途。</w:t>
      </w:r>
    </w:p>
    <w:p>
      <w:r>
        <w:br w:type="page"/>
      </w:r>
    </w:p>
    <w:p>
      <w:pPr>
        <w:pStyle w:val="Heading1"/>
      </w:pPr>
      <w:r>
        <w:t>摘  要</w:t>
      </w:r>
    </w:p>
    <w:p>
      <w:pPr>
        <w:spacing w:after="80"/>
        <w:ind w:firstLine="440"/>
      </w:pPr>
      <w:r>
        <w:rPr>
          <w:rFonts w:ascii="Times New Roman" w:hAnsi="Times New Roman" w:eastAsia="宋体"/>
          <w:b w:val="0"/>
          <w:sz w:val="22"/>
        </w:rPr>
        <w:t xml:space="preserve">随着企业业务持续向云上迁移，安全组、网络 ACL 等云访问控制策略不断累积，宽泛规则、长期未命中规则、冗余配置与高危端口暴露等问题日益突出。多云环境下策略分散在不同控制台与不同账号中，仅看配置难以判断哪些规则真正有效，传统依赖人工的梳理方式难以满足安全运营与等保 2.0 合规要求。</w:t>
      </w:r>
    </w:p>
    <w:p>
      <w:pPr>
        <w:spacing w:after="80"/>
        <w:ind w:firstLine="440"/>
      </w:pPr>
      <w:r>
        <w:rPr>
          <w:rFonts w:ascii="Times New Roman" w:hAnsi="Times New Roman" w:eastAsia="宋体"/>
          <w:b w:val="0"/>
          <w:sz w:val="22"/>
        </w:rPr>
        <w:t xml:space="preserve">云安全策略分析平台由智维数据自主研发，面向公有云、私有云与混合云环境，以只读方式统一接入各云平台安全组与网络 ACL 策略，自动识别宽泛、未命中、被包含和可合并四类问题规则，并结合流日志逐条核对策略命中情况，形成按风险与业务影响排序的收敛建议与整改台账，为收敛攻击面、策略整改和合规审计提供清晰依据。</w:t>
      </w:r>
    </w:p>
    <w:p>
      <w:pPr>
        <w:spacing w:after="80"/>
        <w:ind w:firstLine="440"/>
      </w:pPr>
      <w:r>
        <w:rPr>
          <w:rFonts w:ascii="Times New Roman" w:hAnsi="Times New Roman" w:eastAsia="宋体"/>
          <w:b w:val="0"/>
          <w:sz w:val="22"/>
        </w:rPr>
        <w:t xml:space="preserve">本文系统阐述产品的设计背景、产品价值、分析流程、核心能力体系、典型应用场景与部署使用方式，为用户规划与落地云安全策略治理提供参考。</w:t>
      </w:r>
    </w:p>
    <w:p>
      <w:pPr>
        <w:spacing w:after="80"/>
        <w:ind w:firstLine="440"/>
      </w:pPr>
      <w:r>
        <w:rPr>
          <w:rFonts w:ascii="Times New Roman" w:hAnsi="Times New Roman" w:eastAsia="宋体"/>
          <w:b w:val="0"/>
          <w:sz w:val="22"/>
        </w:rPr>
        <w:t xml:space="preserve">关键词：云安全策略、策略治理、策略收敛、流日志、攻击面收敛、等保合规</w:t>
      </w:r>
    </w:p>
    <w:p>
      <w:r>
        <w:br w:type="page"/>
      </w:r>
    </w:p>
    <w:p>
      <w:pPr>
        <w:pStyle w:val="Heading1"/>
      </w:pPr>
      <w:r>
        <w:t>目  录</w:t>
      </w:r>
    </w:p>
    <w:p>
      <w:pPr>
        <w:spacing w:after="20"/>
      </w:pPr>
      <w:r>
        <w:rPr>
          <w:rFonts w:ascii="Times New Roman" w:hAnsi="Times New Roman" w:eastAsia="微软雅黑"/>
          <w:b/>
          <w:color w:val="2B3542"/>
          <w:sz w:val="23"/>
        </w:rPr>
        <w:t xml:space="preserve">一、前言</w:t>
      </w:r>
    </w:p>
    <w:p>
      <w:pPr>
        <w:spacing w:after="20"/>
        <w:ind w:left="440"/>
      </w:pPr>
      <w:r>
        <w:rPr>
          <w:rFonts w:ascii="Times New Roman" w:hAnsi="Times New Roman" w:eastAsia="宋体"/>
          <w:b w:val="0"/>
          <w:sz w:val="21"/>
        </w:rPr>
        <w:t xml:space="preserve">1.1 概述与目的</w:t>
      </w:r>
    </w:p>
    <w:p>
      <w:pPr>
        <w:spacing w:after="20"/>
        <w:ind w:left="440"/>
      </w:pPr>
      <w:r>
        <w:rPr>
          <w:rFonts w:ascii="Times New Roman" w:hAnsi="Times New Roman" w:eastAsia="宋体"/>
          <w:b w:val="0"/>
          <w:sz w:val="21"/>
        </w:rPr>
        <w:t xml:space="preserve">1.2 背景与挑战</w:t>
      </w:r>
    </w:p>
    <w:p>
      <w:pPr>
        <w:spacing w:after="20"/>
        <w:ind w:left="440"/>
      </w:pPr>
      <w:r>
        <w:rPr>
          <w:rFonts w:ascii="Times New Roman" w:hAnsi="Times New Roman" w:eastAsia="宋体"/>
          <w:b w:val="0"/>
          <w:sz w:val="21"/>
        </w:rPr>
        <w:t xml:space="preserve">1.3 合规驱动</w:t>
      </w:r>
    </w:p>
    <w:p>
      <w:pPr>
        <w:spacing w:after="20"/>
      </w:pPr>
      <w:r>
        <w:rPr>
          <w:rFonts w:ascii="Times New Roman" w:hAnsi="Times New Roman" w:eastAsia="微软雅黑"/>
          <w:b/>
          <w:color w:val="2B3542"/>
          <w:sz w:val="23"/>
        </w:rPr>
        <w:t xml:space="preserve">二、产品概述</w:t>
      </w:r>
    </w:p>
    <w:p>
      <w:pPr>
        <w:spacing w:after="20"/>
        <w:ind w:left="440"/>
      </w:pPr>
      <w:r>
        <w:rPr>
          <w:rFonts w:ascii="Times New Roman" w:hAnsi="Times New Roman" w:eastAsia="宋体"/>
          <w:b w:val="0"/>
          <w:sz w:val="21"/>
        </w:rPr>
        <w:t xml:space="preserve">2.1 产品定位</w:t>
      </w:r>
    </w:p>
    <w:p>
      <w:pPr>
        <w:spacing w:after="20"/>
        <w:ind w:left="440"/>
      </w:pPr>
      <w:r>
        <w:rPr>
          <w:rFonts w:ascii="Times New Roman" w:hAnsi="Times New Roman" w:eastAsia="宋体"/>
          <w:b w:val="0"/>
          <w:sz w:val="21"/>
        </w:rPr>
        <w:t xml:space="preserve">2.2 产品价值</w:t>
      </w:r>
    </w:p>
    <w:p>
      <w:pPr>
        <w:spacing w:after="20"/>
        <w:ind w:left="440"/>
      </w:pPr>
      <w:r>
        <w:rPr>
          <w:rFonts w:ascii="Times New Roman" w:hAnsi="Times New Roman" w:eastAsia="宋体"/>
          <w:b w:val="0"/>
          <w:sz w:val="21"/>
        </w:rPr>
        <w:t xml:space="preserve">2.3 产品特点</w:t>
      </w:r>
    </w:p>
    <w:p>
      <w:pPr>
        <w:spacing w:after="20"/>
      </w:pPr>
      <w:r>
        <w:rPr>
          <w:rFonts w:ascii="Times New Roman" w:hAnsi="Times New Roman" w:eastAsia="微软雅黑"/>
          <w:b/>
          <w:color w:val="2B3542"/>
          <w:sz w:val="23"/>
        </w:rPr>
        <w:t xml:space="preserve">三、分析流程与数据接入</w:t>
      </w:r>
    </w:p>
    <w:p>
      <w:pPr>
        <w:spacing w:after="20"/>
        <w:ind w:left="440"/>
      </w:pPr>
      <w:r>
        <w:rPr>
          <w:rFonts w:ascii="Times New Roman" w:hAnsi="Times New Roman" w:eastAsia="宋体"/>
          <w:b w:val="0"/>
          <w:sz w:val="21"/>
        </w:rPr>
        <w:t xml:space="preserve">3.1 分析链路</w:t>
      </w:r>
    </w:p>
    <w:p>
      <w:pPr>
        <w:spacing w:after="20"/>
        <w:ind w:left="440"/>
      </w:pPr>
      <w:r>
        <w:rPr>
          <w:rFonts w:ascii="Times New Roman" w:hAnsi="Times New Roman" w:eastAsia="宋体"/>
          <w:b w:val="0"/>
          <w:sz w:val="21"/>
        </w:rPr>
        <w:t xml:space="preserve">3.2 数据接入</w:t>
      </w:r>
    </w:p>
    <w:p>
      <w:pPr>
        <w:spacing w:after="20"/>
      </w:pPr>
      <w:r>
        <w:rPr>
          <w:rFonts w:ascii="Times New Roman" w:hAnsi="Times New Roman" w:eastAsia="微软雅黑"/>
          <w:b/>
          <w:color w:val="2B3542"/>
          <w:sz w:val="23"/>
        </w:rPr>
        <w:t xml:space="preserve">四、核心能力体系与功能详解</w:t>
      </w:r>
    </w:p>
    <w:p>
      <w:pPr>
        <w:spacing w:after="20"/>
        <w:ind w:left="440"/>
      </w:pPr>
      <w:r>
        <w:rPr>
          <w:rFonts w:ascii="Times New Roman" w:hAnsi="Times New Roman" w:eastAsia="宋体"/>
          <w:b w:val="0"/>
          <w:sz w:val="21"/>
        </w:rPr>
        <w:t xml:space="preserve">4.1 能力全景</w:t>
      </w:r>
    </w:p>
    <w:p>
      <w:pPr>
        <w:spacing w:after="20"/>
        <w:ind w:left="440"/>
      </w:pPr>
      <w:r>
        <w:rPr>
          <w:rFonts w:ascii="Times New Roman" w:hAnsi="Times New Roman" w:eastAsia="宋体"/>
          <w:b w:val="0"/>
          <w:sz w:val="21"/>
        </w:rPr>
        <w:t xml:space="preserve">4.2 功能模块详解</w:t>
      </w:r>
    </w:p>
    <w:p>
      <w:pPr>
        <w:spacing w:after="20"/>
      </w:pPr>
      <w:r>
        <w:rPr>
          <w:rFonts w:ascii="Times New Roman" w:hAnsi="Times New Roman" w:eastAsia="微软雅黑"/>
          <w:b/>
          <w:color w:val="2B3542"/>
          <w:sz w:val="23"/>
        </w:rPr>
        <w:t xml:space="preserve">五、多云平台支持</w:t>
      </w:r>
    </w:p>
    <w:p>
      <w:pPr>
        <w:spacing w:after="20"/>
      </w:pPr>
      <w:r>
        <w:rPr>
          <w:rFonts w:ascii="Times New Roman" w:hAnsi="Times New Roman" w:eastAsia="微软雅黑"/>
          <w:b/>
          <w:color w:val="2B3542"/>
          <w:sz w:val="23"/>
        </w:rPr>
        <w:t xml:space="preserve">六、典型应用场景</w:t>
      </w:r>
    </w:p>
    <w:p>
      <w:pPr>
        <w:spacing w:after="20"/>
        <w:ind w:left="440"/>
      </w:pPr>
      <w:r>
        <w:rPr>
          <w:rFonts w:ascii="Times New Roman" w:hAnsi="Times New Roman" w:eastAsia="宋体"/>
          <w:b w:val="0"/>
          <w:sz w:val="21"/>
        </w:rPr>
        <w:t xml:space="preserve">6.1 重点场景：策略收敛治理</w:t>
      </w:r>
    </w:p>
    <w:p>
      <w:pPr>
        <w:spacing w:after="20"/>
        <w:ind w:left="440"/>
      </w:pPr>
      <w:r>
        <w:rPr>
          <w:rFonts w:ascii="Times New Roman" w:hAnsi="Times New Roman" w:eastAsia="宋体"/>
          <w:b w:val="0"/>
          <w:sz w:val="21"/>
        </w:rPr>
        <w:t xml:space="preserve">6.2 场景实践一览</w:t>
      </w:r>
    </w:p>
    <w:p>
      <w:pPr>
        <w:spacing w:after="20"/>
      </w:pPr>
      <w:r>
        <w:rPr>
          <w:rFonts w:ascii="Times New Roman" w:hAnsi="Times New Roman" w:eastAsia="微软雅黑"/>
          <w:b/>
          <w:color w:val="2B3542"/>
          <w:sz w:val="23"/>
        </w:rPr>
        <w:t xml:space="preserve">七、部署方式与产品使用入门</w:t>
      </w:r>
    </w:p>
    <w:p>
      <w:pPr>
        <w:spacing w:after="20"/>
        <w:ind w:left="440"/>
      </w:pPr>
      <w:r>
        <w:rPr>
          <w:rFonts w:ascii="Times New Roman" w:hAnsi="Times New Roman" w:eastAsia="宋体"/>
          <w:b w:val="0"/>
          <w:sz w:val="21"/>
        </w:rPr>
        <w:t xml:space="preserve">7.1 部署方式</w:t>
      </w:r>
    </w:p>
    <w:p>
      <w:pPr>
        <w:spacing w:after="20"/>
        <w:ind w:left="440"/>
      </w:pPr>
      <w:r>
        <w:rPr>
          <w:rFonts w:ascii="Times New Roman" w:hAnsi="Times New Roman" w:eastAsia="宋体"/>
          <w:b w:val="0"/>
          <w:sz w:val="21"/>
        </w:rPr>
        <w:t xml:space="preserve">7.2 平台访问</w:t>
      </w:r>
    </w:p>
    <w:p>
      <w:pPr>
        <w:spacing w:after="20"/>
        <w:ind w:left="440"/>
      </w:pPr>
      <w:r>
        <w:rPr>
          <w:rFonts w:ascii="Times New Roman" w:hAnsi="Times New Roman" w:eastAsia="宋体"/>
          <w:b w:val="0"/>
          <w:sz w:val="21"/>
        </w:rPr>
        <w:t xml:space="preserve">7.3 使用前提</w:t>
      </w:r>
    </w:p>
    <w:p>
      <w:pPr>
        <w:spacing w:after="20"/>
      </w:pPr>
      <w:r>
        <w:rPr>
          <w:rFonts w:ascii="Times New Roman" w:hAnsi="Times New Roman" w:eastAsia="微软雅黑"/>
          <w:b/>
          <w:color w:val="2B3542"/>
          <w:sz w:val="23"/>
        </w:rPr>
        <w:t xml:space="preserve">八、术语与指标说明</w:t>
      </w:r>
    </w:p>
    <w:p>
      <w:pPr>
        <w:spacing w:after="20"/>
      </w:pPr>
      <w:r>
        <w:rPr>
          <w:rFonts w:ascii="Times New Roman" w:hAnsi="Times New Roman" w:eastAsia="微软雅黑"/>
          <w:b/>
          <w:color w:val="2B3542"/>
          <w:sz w:val="23"/>
        </w:rPr>
        <w:t xml:space="preserve">九、关于智维数据</w:t>
      </w:r>
    </w:p>
    <w:p>
      <w:r>
        <w:br w:type="page"/>
      </w:r>
    </w:p>
    <w:p>
      <w:pPr>
        <w:pStyle w:val="Heading1"/>
      </w:pPr>
      <w:r>
        <w:t>一、前言</w:t>
      </w:r>
    </w:p>
    <w:p>
      <w:pPr>
        <w:pStyle w:val="Heading2"/>
      </w:pPr>
      <w:r>
        <w:t>1.1 概述与目的</w:t>
      </w:r>
    </w:p>
    <w:p>
      <w:pPr>
        <w:spacing w:after="80"/>
        <w:ind w:firstLine="440"/>
      </w:pPr>
      <w:r>
        <w:rPr>
          <w:rFonts w:ascii="Times New Roman" w:hAnsi="Times New Roman" w:eastAsia="宋体"/>
          <w:b w:val="0"/>
          <w:sz w:val="22"/>
        </w:rPr>
        <w:t xml:space="preserve">安全组与网络 ACL 是云环境访问控制的核心手段，其策略配置直接决定云上资源的暴露范围。随着业务不断增长，策略持续增多并分散在多个云平台与账号中，管理及维护难度不断增大，云策略治理已成为安全运营中的重要课题。</w:t>
      </w:r>
    </w:p>
    <w:p>
      <w:pPr>
        <w:spacing w:after="80"/>
        <w:ind w:firstLine="440"/>
      </w:pPr>
      <w:r>
        <w:rPr>
          <w:rFonts w:ascii="Times New Roman" w:hAnsi="Times New Roman" w:eastAsia="宋体"/>
          <w:b w:val="0"/>
          <w:sz w:val="22"/>
        </w:rPr>
        <w:t xml:space="preserve">本文档面向云安全运营人员、云平台运维人员、网络安全管理人员及信息化决策者，系统介绍云安全策略分析平台的产品背景、产品价值、分析流程、核心能力体系与典型应用场景，帮助读者全面了解产品，为云安全策略治理工作的规划、实施与持续运营提供参考。</w:t>
      </w:r>
    </w:p>
    <w:p>
      <w:pPr>
        <w:pStyle w:val="Heading2"/>
      </w:pPr>
      <w:r>
        <w:t>1.2 背景与挑战</w:t>
      </w:r>
    </w:p>
    <w:p>
      <w:pPr>
        <w:spacing w:after="80"/>
        <w:ind w:firstLine="440"/>
      </w:pPr>
      <w:r>
        <w:rPr>
          <w:rFonts w:ascii="Times New Roman" w:hAnsi="Times New Roman" w:eastAsia="宋体"/>
          <w:b w:val="0"/>
          <w:sz w:val="22"/>
        </w:rPr>
        <w:t xml:space="preserve">在云环境的日常管理与运维中，安全组与网络 ACL 策略越积越多，真正影响业务与安全的规则却越来越难判断。用户普遍面临以下四大挑战：</w:t>
      </w:r>
    </w:p>
    <w:tbl>
      <w:tblPr>
        <w:tblStyle w:val="TableGrid"/>
        <w:tblW w:type="auto" w:w="0"/>
        <w:jc w:val="center"/>
        <w:tblLook w:firstColumn="1" w:firstRow="1" w:lastColumn="0" w:lastRow="0" w:noHBand="0" w:noVBand="1" w:val="04A0"/>
      </w:tblPr>
      <w:tblGrid>
        <w:gridCol w:w="970"/>
        <w:gridCol w:w="1940"/>
        <w:gridCol w:w="5820"/>
      </w:tblGrid>
      <w:tr>
        <w:tc>
          <w:tcPr>
            <w:tcW w:type="dxa" w:w="970"/>
            <w:shd w:val="clear" w:fill="2B3542"/>
          </w:tcPr>
          <w:p>
            <w:pPr>
              <w:spacing w:after="40" w:before="40"/>
              <w:jc w:val="center"/>
            </w:pPr>
            <w:r>
              <w:rPr>
                <w:rFonts w:ascii="Times New Roman" w:hAnsi="Times New Roman" w:eastAsia="微软雅黑"/>
                <w:b/>
                <w:color w:val="FFFFFF"/>
                <w:sz w:val="21"/>
              </w:rPr>
              <w:t xml:space="preserve">序号</w:t>
            </w:r>
          </w:p>
        </w:tc>
        <w:tc>
          <w:tcPr>
            <w:tcW w:type="dxa" w:w="1940"/>
            <w:shd w:val="clear" w:fill="2B3542"/>
          </w:tcPr>
          <w:p>
            <w:pPr>
              <w:spacing w:after="40" w:before="40"/>
              <w:jc w:val="center"/>
            </w:pPr>
            <w:r>
              <w:rPr>
                <w:rFonts w:ascii="Times New Roman" w:hAnsi="Times New Roman" w:eastAsia="微软雅黑"/>
                <w:b/>
                <w:color w:val="FFFFFF"/>
                <w:sz w:val="21"/>
              </w:rPr>
              <w:t xml:space="preserve">挑战</w:t>
            </w:r>
          </w:p>
        </w:tc>
        <w:tc>
          <w:tcPr>
            <w:tcW w:type="dxa" w:w="5820"/>
            <w:shd w:val="clear" w:fill="2B3542"/>
          </w:tcPr>
          <w:p>
            <w:pPr>
              <w:spacing w:after="40" w:before="40"/>
              <w:jc w:val="center"/>
            </w:pPr>
            <w:r>
              <w:rPr>
                <w:rFonts w:ascii="Times New Roman" w:hAnsi="Times New Roman" w:eastAsia="微软雅黑"/>
                <w:b/>
                <w:color w:val="FFFFFF"/>
                <w:sz w:val="21"/>
              </w:rPr>
              <w:t xml:space="preserve">具体表现</w:t>
            </w:r>
          </w:p>
        </w:tc>
      </w:tr>
      <w:tr>
        <w:tc>
          <w:tcPr>
            <w:tcW w:type="dxa" w:w="970"/>
          </w:tcPr>
          <w:p>
            <w:pPr>
              <w:spacing w:after="40" w:before="40"/>
            </w:pPr>
            <w:r>
              <w:rPr>
                <w:rFonts w:ascii="Times New Roman" w:hAnsi="Times New Roman" w:eastAsia="宋体"/>
                <w:b w:val="0"/>
                <w:sz w:val="21"/>
              </w:rPr>
              <w:t xml:space="preserve">1</w:t>
            </w:r>
          </w:p>
        </w:tc>
        <w:tc>
          <w:tcPr>
            <w:tcW w:type="dxa" w:w="1940"/>
          </w:tcPr>
          <w:p>
            <w:pPr>
              <w:spacing w:after="40" w:before="40"/>
            </w:pPr>
            <w:r>
              <w:rPr>
                <w:rFonts w:ascii="Times New Roman" w:hAnsi="Times New Roman" w:eastAsia="宋体"/>
                <w:b w:val="0"/>
                <w:sz w:val="21"/>
              </w:rPr>
              <w:t xml:space="preserve">策略分散难统一</w:t>
            </w:r>
          </w:p>
        </w:tc>
        <w:tc>
          <w:tcPr>
            <w:tcW w:type="dxa" w:w="5820"/>
          </w:tcPr>
          <w:p>
            <w:pPr>
              <w:spacing w:after="40" w:before="40"/>
            </w:pPr>
            <w:r>
              <w:rPr>
                <w:rFonts w:ascii="Times New Roman" w:hAnsi="Times New Roman" w:eastAsia="宋体"/>
                <w:b w:val="0"/>
                <w:sz w:val="21"/>
              </w:rPr>
              <w:t xml:space="preserve">公有云、私有云和不同账号中的安全组与网络 ACL 策略分散维护，缺少统一视角与完整台账，跨平台查询和人工汇总成本高。</w:t>
            </w:r>
          </w:p>
        </w:tc>
      </w:tr>
      <w:tr>
        <w:tc>
          <w:tcPr>
            <w:tcW w:type="dxa" w:w="970"/>
            <w:shd w:val="clear" w:fill="F2F6F7"/>
          </w:tcPr>
          <w:p>
            <w:pPr>
              <w:spacing w:after="40" w:before="40"/>
            </w:pPr>
            <w:r>
              <w:rPr>
                <w:rFonts w:ascii="Times New Roman" w:hAnsi="Times New Roman" w:eastAsia="宋体"/>
                <w:b w:val="0"/>
                <w:sz w:val="21"/>
              </w:rPr>
              <w:t xml:space="preserve">2</w:t>
            </w:r>
          </w:p>
        </w:tc>
        <w:tc>
          <w:tcPr>
            <w:tcW w:type="dxa" w:w="1940"/>
            <w:shd w:val="clear" w:fill="F2F6F7"/>
          </w:tcPr>
          <w:p>
            <w:pPr>
              <w:spacing w:after="40" w:before="40"/>
            </w:pPr>
            <w:r>
              <w:rPr>
                <w:rFonts w:ascii="Times New Roman" w:hAnsi="Times New Roman" w:eastAsia="宋体"/>
                <w:b w:val="0"/>
                <w:sz w:val="21"/>
              </w:rPr>
              <w:t xml:space="preserve">宽泛规则难收敛</w:t>
            </w:r>
          </w:p>
        </w:tc>
        <w:tc>
          <w:tcPr>
            <w:tcW w:type="dxa" w:w="5820"/>
            <w:shd w:val="clear" w:fill="F2F6F7"/>
          </w:tcPr>
          <w:p>
            <w:pPr>
              <w:spacing w:after="40" w:before="40"/>
            </w:pPr>
            <w:r>
              <w:rPr>
                <w:rFonts w:ascii="Times New Roman" w:hAnsi="Times New Roman" w:eastAsia="宋体"/>
                <w:b w:val="0"/>
                <w:sz w:val="21"/>
              </w:rPr>
              <w:t xml:space="preserve">大网段、任意地址和高危端口长期存在，仅看配置难以确定收敛边界，缺乏真实命中依据，难以按业务真实需要收紧。</w:t>
            </w:r>
          </w:p>
        </w:tc>
      </w:tr>
      <w:tr>
        <w:tc>
          <w:tcPr>
            <w:tcW w:type="dxa" w:w="970"/>
          </w:tcPr>
          <w:p>
            <w:pPr>
              <w:spacing w:after="40" w:before="40"/>
            </w:pPr>
            <w:r>
              <w:rPr>
                <w:rFonts w:ascii="Times New Roman" w:hAnsi="Times New Roman" w:eastAsia="宋体"/>
                <w:b w:val="0"/>
                <w:sz w:val="21"/>
              </w:rPr>
              <w:t xml:space="preserve">3</w:t>
            </w:r>
          </w:p>
        </w:tc>
        <w:tc>
          <w:tcPr>
            <w:tcW w:type="dxa" w:w="1940"/>
          </w:tcPr>
          <w:p>
            <w:pPr>
              <w:spacing w:after="40" w:before="40"/>
            </w:pPr>
            <w:r>
              <w:rPr>
                <w:rFonts w:ascii="Times New Roman" w:hAnsi="Times New Roman" w:eastAsia="宋体"/>
                <w:b w:val="0"/>
                <w:sz w:val="21"/>
              </w:rPr>
              <w:t xml:space="preserve">无效策略难判断</w:t>
            </w:r>
          </w:p>
        </w:tc>
        <w:tc>
          <w:tcPr>
            <w:tcW w:type="dxa" w:w="5820"/>
          </w:tcPr>
          <w:p>
            <w:pPr>
              <w:spacing w:after="40" w:before="40"/>
            </w:pPr>
            <w:r>
              <w:rPr>
                <w:rFonts w:ascii="Times New Roman" w:hAnsi="Times New Roman" w:eastAsia="宋体"/>
                <w:b w:val="0"/>
                <w:sz w:val="21"/>
              </w:rPr>
              <w:t xml:space="preserve">只看配置无法确认规则是否有真实流量命中，清理时既担心影响业务，也容易遗漏长期无人使用的死策略。</w:t>
            </w:r>
          </w:p>
        </w:tc>
      </w:tr>
      <w:tr>
        <w:tc>
          <w:tcPr>
            <w:tcW w:type="dxa" w:w="970"/>
            <w:shd w:val="clear" w:fill="F2F6F7"/>
          </w:tcPr>
          <w:p>
            <w:pPr>
              <w:spacing w:after="40" w:before="40"/>
            </w:pPr>
            <w:r>
              <w:rPr>
                <w:rFonts w:ascii="Times New Roman" w:hAnsi="Times New Roman" w:eastAsia="宋体"/>
                <w:b w:val="0"/>
                <w:sz w:val="21"/>
              </w:rPr>
              <w:t xml:space="preserve">4</w:t>
            </w:r>
          </w:p>
        </w:tc>
        <w:tc>
          <w:tcPr>
            <w:tcW w:type="dxa" w:w="1940"/>
            <w:shd w:val="clear" w:fill="F2F6F7"/>
          </w:tcPr>
          <w:p>
            <w:pPr>
              <w:spacing w:after="40" w:before="40"/>
            </w:pPr>
            <w:r>
              <w:rPr>
                <w:rFonts w:ascii="Times New Roman" w:hAnsi="Times New Roman" w:eastAsia="宋体"/>
                <w:b w:val="0"/>
                <w:sz w:val="21"/>
              </w:rPr>
              <w:t xml:space="preserve">整改过程难审计</w:t>
            </w:r>
          </w:p>
        </w:tc>
        <w:tc>
          <w:tcPr>
            <w:tcW w:type="dxa" w:w="5820"/>
            <w:shd w:val="clear" w:fill="F2F6F7"/>
          </w:tcPr>
          <w:p>
            <w:pPr>
              <w:spacing w:after="40" w:before="40"/>
            </w:pPr>
            <w:r>
              <w:rPr>
                <w:rFonts w:ascii="Times New Roman" w:hAnsi="Times New Roman" w:eastAsia="宋体"/>
                <w:b w:val="0"/>
                <w:sz w:val="21"/>
              </w:rPr>
              <w:t xml:space="preserve">问题发现、优先级判断、整改建议与复核记录缺少连续留痕，合规审计准备成本高。</w:t>
            </w:r>
          </w:p>
        </w:tc>
      </w:tr>
    </w:tbl>
    <w:p>
      <w:pPr>
        <w:pStyle w:val="Heading2"/>
      </w:pPr>
      <w:r>
        <w:t>1.3 合规驱动</w:t>
      </w:r>
    </w:p>
    <w:p>
      <w:pPr>
        <w:spacing w:after="80"/>
        <w:ind w:firstLine="440"/>
      </w:pPr>
      <w:r>
        <w:rPr>
          <w:rFonts w:ascii="Times New Roman" w:hAnsi="Times New Roman" w:eastAsia="宋体"/>
          <w:b w:val="0"/>
          <w:sz w:val="22"/>
        </w:rPr>
        <w:t xml:space="preserve">等保 2.0 对访问控制提出了明确要求：应及时删除无效策略、实现访问控制规则数量最小化、对宽泛策略进行收敛、对高危端口与违规配置进行核查。在云环境下，上述要求最终落到安全组与网络 ACL 的每一条规则上，传统人工方式难以持续满足，需要以真实访问证据为基础，建立自动化、可持续的策略治理机制。</w:t>
      </w:r>
    </w:p>
    <w:p>
      <w:pPr>
        <w:pStyle w:val="Heading1"/>
      </w:pPr>
      <w:r>
        <w:t>二、产品概述</w:t>
      </w:r>
    </w:p>
    <w:p>
      <w:pPr>
        <w:pStyle w:val="Heading2"/>
      </w:pPr>
      <w:r>
        <w:t>2.1 产品定位</w:t>
      </w:r>
    </w:p>
    <w:p>
      <w:pPr>
        <w:spacing w:after="80"/>
        <w:ind w:firstLine="440"/>
      </w:pPr>
      <w:r>
        <w:rPr>
          <w:rFonts w:ascii="Times New Roman" w:hAnsi="Times New Roman" w:eastAsia="宋体"/>
          <w:b w:val="0"/>
          <w:sz w:val="22"/>
        </w:rPr>
        <w:t xml:space="preserve">云安全策略分析平台是智维数据策明（POLICYLENS）多云安全策略治理产品体系中的核心产品，让多云安全策略"看得清、理得净、收得拢"。产品面向公有云、私有云与混合云环境，统一梳理安全组与网络 ACL 策略，自动识别问题规则，并结合流日志判断策略有效性，为收敛攻击面、策略整改和合规审计提供清晰依据。</w:t>
      </w:r>
    </w:p>
    <w:p>
      <w:pPr>
        <w:pStyle w:val="Heading2"/>
      </w:pPr>
      <w:r>
        <w:t>2.2 产品价值</w:t>
      </w:r>
    </w:p>
    <w:p>
      <w:pPr>
        <w:spacing w:after="80"/>
        <w:ind w:firstLine="440"/>
      </w:pPr>
      <w:r>
        <w:rPr>
          <w:rFonts w:ascii="Times New Roman" w:hAnsi="Times New Roman" w:eastAsia="宋体"/>
          <w:b w:val="0"/>
          <w:sz w:val="22"/>
        </w:rPr>
        <w:t xml:space="preserve">产品让多云策略的查询、分析与整改都有真实流量证据：</w:t>
      </w:r>
    </w:p>
    <w:p>
      <w:pPr>
        <w:pStyle w:val="ListBullet"/>
        <w:spacing w:after="60"/>
      </w:pPr>
      <w:r>
        <w:rPr>
          <w:rFonts w:ascii="Times New Roman" w:hAnsi="Times New Roman" w:eastAsia="宋体"/>
          <w:b/>
          <w:color w:val="2B3542"/>
          <w:sz w:val="22"/>
        </w:rPr>
        <w:t xml:space="preserve">多云策略统一看清：</w:t>
      </w:r>
      <w:r>
        <w:rPr>
          <w:rFonts w:ascii="Times New Roman" w:hAnsi="Times New Roman" w:eastAsia="宋体"/>
          <w:b w:val="0"/>
          <w:sz w:val="22"/>
        </w:rPr>
        <w:t xml:space="preserve">在同一视角梳理多云安全组、网络 ACL 与策略台账，降低跨平台查询和人工汇总成本。</w:t>
      </w:r>
    </w:p>
    <w:p>
      <w:pPr>
        <w:pStyle w:val="ListBullet"/>
        <w:spacing w:after="60"/>
      </w:pPr>
      <w:r>
        <w:rPr>
          <w:rFonts w:ascii="Times New Roman" w:hAnsi="Times New Roman" w:eastAsia="宋体"/>
          <w:b/>
          <w:color w:val="2B3542"/>
          <w:sz w:val="22"/>
        </w:rPr>
        <w:t xml:space="preserve">问题规则准确识别：</w:t>
      </w:r>
      <w:r>
        <w:rPr>
          <w:rFonts w:ascii="Times New Roman" w:hAnsi="Times New Roman" w:eastAsia="宋体"/>
          <w:b w:val="0"/>
          <w:sz w:val="22"/>
        </w:rPr>
        <w:t xml:space="preserve">自动识别宽泛、未命中、被包含和可合并策略，并按风险与业务影响形成整改优先级。</w:t>
      </w:r>
    </w:p>
    <w:p>
      <w:pPr>
        <w:pStyle w:val="ListBullet"/>
        <w:spacing w:after="60"/>
      </w:pPr>
      <w:r>
        <w:rPr>
          <w:rFonts w:ascii="Times New Roman" w:hAnsi="Times New Roman" w:eastAsia="宋体"/>
          <w:b/>
          <w:color w:val="2B3542"/>
          <w:sz w:val="22"/>
        </w:rPr>
        <w:t xml:space="preserve">治理结果持续留痕：</w:t>
      </w:r>
      <w:r>
        <w:rPr>
          <w:rFonts w:ascii="Times New Roman" w:hAnsi="Times New Roman" w:eastAsia="宋体"/>
          <w:b w:val="0"/>
          <w:sz w:val="22"/>
        </w:rPr>
        <w:t xml:space="preserve">输出可核查的收敛建议与整改台账，保留处理记录并支持导出，便于复核和审计。</w:t>
      </w:r>
    </w:p>
    <w:p>
      <w:pPr>
        <w:pStyle w:val="Heading2"/>
      </w:pPr>
      <w:r>
        <w:t>2.3 产品特点</w:t>
      </w:r>
    </w:p>
    <w:p>
      <w:pPr>
        <w:pStyle w:val="ListBullet"/>
        <w:spacing w:after="60"/>
      </w:pPr>
      <w:r>
        <w:rPr>
          <w:rFonts w:ascii="Times New Roman" w:hAnsi="Times New Roman" w:eastAsia="宋体"/>
          <w:b/>
          <w:color w:val="2B3542"/>
          <w:sz w:val="22"/>
        </w:rPr>
        <w:t xml:space="preserve">只读接入、零侵入：</w:t>
      </w:r>
      <w:r>
        <w:rPr>
          <w:rFonts w:ascii="Times New Roman" w:hAnsi="Times New Roman" w:eastAsia="宋体"/>
          <w:b w:val="0"/>
          <w:sz w:val="22"/>
        </w:rPr>
        <w:t xml:space="preserve">以只读方式接入各云平台现网策略与流日志，分析过程不改动现网配置，对现有业务无影响。</w:t>
      </w:r>
    </w:p>
    <w:p>
      <w:pPr>
        <w:pStyle w:val="ListBullet"/>
        <w:spacing w:after="60"/>
      </w:pPr>
      <w:r>
        <w:rPr>
          <w:rFonts w:ascii="Times New Roman" w:hAnsi="Times New Roman" w:eastAsia="宋体"/>
          <w:b/>
          <w:color w:val="2B3542"/>
          <w:sz w:val="22"/>
        </w:rPr>
        <w:t xml:space="preserve">多云统一纳管：</w:t>
      </w:r>
      <w:r>
        <w:rPr>
          <w:rFonts w:ascii="Times New Roman" w:hAnsi="Times New Roman" w:eastAsia="宋体"/>
          <w:b w:val="0"/>
          <w:sz w:val="22"/>
        </w:rPr>
        <w:t xml:space="preserve">统一查看华为云、阿里云、腾讯云、AWS、Azure 与私有云策略，建立一致的策略口径与问题分类。</w:t>
      </w:r>
    </w:p>
    <w:p>
      <w:pPr>
        <w:pStyle w:val="ListBullet"/>
        <w:spacing w:after="60"/>
      </w:pPr>
      <w:r>
        <w:rPr>
          <w:rFonts w:ascii="Times New Roman" w:hAnsi="Times New Roman" w:eastAsia="宋体"/>
          <w:b/>
          <w:color w:val="2B3542"/>
          <w:sz w:val="22"/>
        </w:rPr>
        <w:t xml:space="preserve">策略与流量缝合：</w:t>
      </w:r>
      <w:r>
        <w:rPr>
          <w:rFonts w:ascii="Times New Roman" w:hAnsi="Times New Roman" w:eastAsia="宋体"/>
          <w:b w:val="0"/>
          <w:sz w:val="22"/>
        </w:rPr>
        <w:t xml:space="preserve">结合流日志逐条核对规则命中情况，以真实访问行为判断策略有效性。</w:t>
      </w:r>
    </w:p>
    <w:p>
      <w:pPr>
        <w:pStyle w:val="ListBullet"/>
        <w:spacing w:after="60"/>
      </w:pPr>
      <w:r>
        <w:rPr>
          <w:rFonts w:ascii="Times New Roman" w:hAnsi="Times New Roman" w:eastAsia="宋体"/>
          <w:b/>
          <w:color w:val="2B3542"/>
          <w:sz w:val="22"/>
        </w:rPr>
        <w:t xml:space="preserve">四类问题策略识别：</w:t>
      </w:r>
      <w:r>
        <w:rPr>
          <w:rFonts w:ascii="Times New Roman" w:hAnsi="Times New Roman" w:eastAsia="宋体"/>
          <w:b w:val="0"/>
          <w:sz w:val="22"/>
        </w:rPr>
        <w:t xml:space="preserve">识别宽泛、未命中、被包含和可合并规则，让风险分布更清楚。</w:t>
      </w:r>
    </w:p>
    <w:p>
      <w:pPr>
        <w:pStyle w:val="ListBullet"/>
        <w:spacing w:after="60"/>
      </w:pPr>
      <w:r>
        <w:rPr>
          <w:rFonts w:ascii="Times New Roman" w:hAnsi="Times New Roman" w:eastAsia="宋体"/>
          <w:b/>
          <w:color w:val="2B3542"/>
          <w:sz w:val="22"/>
        </w:rPr>
        <w:t xml:space="preserve">审计留痕与导出：</w:t>
      </w:r>
      <w:r>
        <w:rPr>
          <w:rFonts w:ascii="Times New Roman" w:hAnsi="Times New Roman" w:eastAsia="宋体"/>
          <w:b w:val="0"/>
          <w:sz w:val="22"/>
        </w:rPr>
        <w:t xml:space="preserve">支持策略台账和整改清单导出，保留治理记录，以支撑合规审计。</w:t>
      </w:r>
    </w:p>
    <w:p>
      <w:pPr>
        <w:pStyle w:val="Heading1"/>
      </w:pPr>
      <w:r>
        <w:t>三、分析流程与数据接入</w:t>
      </w:r>
    </w:p>
    <w:p>
      <w:pPr>
        <w:pStyle w:val="Heading2"/>
      </w:pPr>
      <w:r>
        <w:t>3.1 分析链路</w:t>
      </w:r>
    </w:p>
    <w:p>
      <w:pPr>
        <w:spacing w:after="80"/>
        <w:ind w:firstLine="440"/>
      </w:pPr>
      <w:r>
        <w:rPr>
          <w:rFonts w:ascii="Times New Roman" w:hAnsi="Times New Roman" w:eastAsia="宋体"/>
          <w:b w:val="0"/>
          <w:sz w:val="22"/>
        </w:rPr>
        <w:t xml:space="preserve">产品从多云规则归一到流量验证，再形成按优先级排列的治理动作，分析链路分为四个环节：</w:t>
      </w:r>
    </w:p>
    <w:tbl>
      <w:tblPr>
        <w:tblStyle w:val="TableGrid"/>
        <w:tblW w:type="auto" w:w="0"/>
        <w:jc w:val="center"/>
        <w:tblLook w:firstColumn="1" w:firstRow="1" w:lastColumn="0" w:lastRow="0" w:noHBand="0" w:noVBand="1" w:val="04A0"/>
      </w:tblPr>
      <w:tblGrid>
        <w:gridCol w:w="970"/>
        <w:gridCol w:w="1940"/>
        <w:gridCol w:w="5820"/>
      </w:tblGrid>
      <w:tr>
        <w:tc>
          <w:tcPr>
            <w:tcW w:type="dxa" w:w="970"/>
            <w:shd w:val="clear" w:fill="2B3542"/>
          </w:tcPr>
          <w:p>
            <w:pPr>
              <w:spacing w:after="40" w:before="40"/>
              <w:jc w:val="center"/>
            </w:pPr>
            <w:r>
              <w:rPr>
                <w:rFonts w:ascii="Times New Roman" w:hAnsi="Times New Roman" w:eastAsia="微软雅黑"/>
                <w:b/>
                <w:color w:val="FFFFFF"/>
                <w:sz w:val="21"/>
              </w:rPr>
              <w:t xml:space="preserve">步骤</w:t>
            </w:r>
          </w:p>
        </w:tc>
        <w:tc>
          <w:tcPr>
            <w:tcW w:type="dxa" w:w="1940"/>
            <w:shd w:val="clear" w:fill="2B3542"/>
          </w:tcPr>
          <w:p>
            <w:pPr>
              <w:spacing w:after="40" w:before="40"/>
              <w:jc w:val="center"/>
            </w:pPr>
            <w:r>
              <w:rPr>
                <w:rFonts w:ascii="Times New Roman" w:hAnsi="Times New Roman" w:eastAsia="微软雅黑"/>
                <w:b/>
                <w:color w:val="FFFFFF"/>
                <w:sz w:val="21"/>
              </w:rPr>
              <w:t xml:space="preserve">环节</w:t>
            </w:r>
          </w:p>
        </w:tc>
        <w:tc>
          <w:tcPr>
            <w:tcW w:type="dxa" w:w="5820"/>
            <w:shd w:val="clear" w:fill="2B3542"/>
          </w:tcPr>
          <w:p>
            <w:pPr>
              <w:spacing w:after="40" w:before="40"/>
              <w:jc w:val="center"/>
            </w:pPr>
            <w:r>
              <w:rPr>
                <w:rFonts w:ascii="Times New Roman" w:hAnsi="Times New Roman" w:eastAsia="微软雅黑"/>
                <w:b/>
                <w:color w:val="FFFFFF"/>
                <w:sz w:val="21"/>
              </w:rPr>
              <w:t xml:space="preserve">说明</w:t>
            </w:r>
          </w:p>
        </w:tc>
      </w:tr>
      <w:tr>
        <w:tc>
          <w:tcPr>
            <w:tcW w:type="dxa" w:w="970"/>
          </w:tcPr>
          <w:p>
            <w:pPr>
              <w:spacing w:after="40" w:before="40"/>
            </w:pPr>
            <w:r>
              <w:rPr>
                <w:rFonts w:ascii="Times New Roman" w:hAnsi="Times New Roman" w:eastAsia="宋体"/>
                <w:b w:val="0"/>
                <w:sz w:val="21"/>
              </w:rPr>
              <w:t xml:space="preserve">01</w:t>
            </w:r>
          </w:p>
        </w:tc>
        <w:tc>
          <w:tcPr>
            <w:tcW w:type="dxa" w:w="1940"/>
          </w:tcPr>
          <w:p>
            <w:pPr>
              <w:spacing w:after="40" w:before="40"/>
            </w:pPr>
            <w:r>
              <w:rPr>
                <w:rFonts w:ascii="Times New Roman" w:hAnsi="Times New Roman" w:eastAsia="宋体"/>
                <w:b w:val="0"/>
                <w:sz w:val="21"/>
              </w:rPr>
              <w:t xml:space="preserve">多云策略接入</w:t>
            </w:r>
          </w:p>
        </w:tc>
        <w:tc>
          <w:tcPr>
            <w:tcW w:type="dxa" w:w="5820"/>
          </w:tcPr>
          <w:p>
            <w:pPr>
              <w:spacing w:after="40" w:before="40"/>
            </w:pPr>
            <w:r>
              <w:rPr>
                <w:rFonts w:ascii="Times New Roman" w:hAnsi="Times New Roman" w:eastAsia="宋体"/>
                <w:b w:val="0"/>
                <w:sz w:val="21"/>
              </w:rPr>
              <w:t xml:space="preserve">以只读方式接入各云平台与私有云策略，统一整理安全组和网络 ACL。</w:t>
            </w:r>
          </w:p>
        </w:tc>
      </w:tr>
      <w:tr>
        <w:tc>
          <w:tcPr>
            <w:tcW w:type="dxa" w:w="970"/>
            <w:shd w:val="clear" w:fill="F2F6F7"/>
          </w:tcPr>
          <w:p>
            <w:pPr>
              <w:spacing w:after="40" w:before="40"/>
            </w:pPr>
            <w:r>
              <w:rPr>
                <w:rFonts w:ascii="Times New Roman" w:hAnsi="Times New Roman" w:eastAsia="宋体"/>
                <w:b w:val="0"/>
                <w:sz w:val="21"/>
              </w:rPr>
              <w:t xml:space="preserve">02</w:t>
            </w:r>
          </w:p>
        </w:tc>
        <w:tc>
          <w:tcPr>
            <w:tcW w:type="dxa" w:w="1940"/>
            <w:shd w:val="clear" w:fill="F2F6F7"/>
          </w:tcPr>
          <w:p>
            <w:pPr>
              <w:spacing w:after="40" w:before="40"/>
            </w:pPr>
            <w:r>
              <w:rPr>
                <w:rFonts w:ascii="Times New Roman" w:hAnsi="Times New Roman" w:eastAsia="宋体"/>
                <w:b w:val="0"/>
                <w:sz w:val="21"/>
              </w:rPr>
              <w:t xml:space="preserve">规则模型归一</w:t>
            </w:r>
          </w:p>
        </w:tc>
        <w:tc>
          <w:tcPr>
            <w:tcW w:type="dxa" w:w="5820"/>
            <w:shd w:val="clear" w:fill="F2F6F7"/>
          </w:tcPr>
          <w:p>
            <w:pPr>
              <w:spacing w:after="40" w:before="40"/>
            </w:pPr>
            <w:r>
              <w:rPr>
                <w:rFonts w:ascii="Times New Roman" w:hAnsi="Times New Roman" w:eastAsia="宋体"/>
                <w:b w:val="0"/>
                <w:sz w:val="21"/>
              </w:rPr>
              <w:t xml:space="preserve">将不同平台的地址、端口、方向与动作转换为可比较的统一策略视图。</w:t>
            </w:r>
          </w:p>
        </w:tc>
      </w:tr>
      <w:tr>
        <w:tc>
          <w:tcPr>
            <w:tcW w:type="dxa" w:w="970"/>
          </w:tcPr>
          <w:p>
            <w:pPr>
              <w:spacing w:after="40" w:before="40"/>
            </w:pPr>
            <w:r>
              <w:rPr>
                <w:rFonts w:ascii="Times New Roman" w:hAnsi="Times New Roman" w:eastAsia="宋体"/>
                <w:b w:val="0"/>
                <w:sz w:val="21"/>
              </w:rPr>
              <w:t xml:space="preserve">03</w:t>
            </w:r>
          </w:p>
        </w:tc>
        <w:tc>
          <w:tcPr>
            <w:tcW w:type="dxa" w:w="1940"/>
          </w:tcPr>
          <w:p>
            <w:pPr>
              <w:spacing w:after="40" w:before="40"/>
            </w:pPr>
            <w:r>
              <w:rPr>
                <w:rFonts w:ascii="Times New Roman" w:hAnsi="Times New Roman" w:eastAsia="宋体"/>
                <w:b w:val="0"/>
                <w:sz w:val="21"/>
              </w:rPr>
              <w:t xml:space="preserve">策略与流量缝合</w:t>
            </w:r>
          </w:p>
        </w:tc>
        <w:tc>
          <w:tcPr>
            <w:tcW w:type="dxa" w:w="5820"/>
          </w:tcPr>
          <w:p>
            <w:pPr>
              <w:spacing w:after="40" w:before="40"/>
            </w:pPr>
            <w:r>
              <w:rPr>
                <w:rFonts w:ascii="Times New Roman" w:hAnsi="Times New Roman" w:eastAsia="宋体"/>
                <w:b w:val="0"/>
                <w:sz w:val="21"/>
              </w:rPr>
              <w:t xml:space="preserve">结合流日志逐条核对规则命中情况，以真实访问行为判断策略有效性。</w:t>
            </w:r>
          </w:p>
        </w:tc>
      </w:tr>
      <w:tr>
        <w:tc>
          <w:tcPr>
            <w:tcW w:type="dxa" w:w="970"/>
            <w:shd w:val="clear" w:fill="F2F6F7"/>
          </w:tcPr>
          <w:p>
            <w:pPr>
              <w:spacing w:after="40" w:before="40"/>
            </w:pPr>
            <w:r>
              <w:rPr>
                <w:rFonts w:ascii="Times New Roman" w:hAnsi="Times New Roman" w:eastAsia="宋体"/>
                <w:b w:val="0"/>
                <w:sz w:val="21"/>
              </w:rPr>
              <w:t xml:space="preserve">04</w:t>
            </w:r>
          </w:p>
        </w:tc>
        <w:tc>
          <w:tcPr>
            <w:tcW w:type="dxa" w:w="1940"/>
            <w:shd w:val="clear" w:fill="F2F6F7"/>
          </w:tcPr>
          <w:p>
            <w:pPr>
              <w:spacing w:after="40" w:before="40"/>
            </w:pPr>
            <w:r>
              <w:rPr>
                <w:rFonts w:ascii="Times New Roman" w:hAnsi="Times New Roman" w:eastAsia="宋体"/>
                <w:b w:val="0"/>
                <w:sz w:val="21"/>
              </w:rPr>
              <w:t xml:space="preserve">生成整改清单</w:t>
            </w:r>
          </w:p>
        </w:tc>
        <w:tc>
          <w:tcPr>
            <w:tcW w:type="dxa" w:w="5820"/>
            <w:shd w:val="clear" w:fill="F2F6F7"/>
          </w:tcPr>
          <w:p>
            <w:pPr>
              <w:spacing w:after="40" w:before="40"/>
            </w:pPr>
            <w:r>
              <w:rPr>
                <w:rFonts w:ascii="Times New Roman" w:hAnsi="Times New Roman" w:eastAsia="宋体"/>
                <w:b w:val="0"/>
                <w:sz w:val="21"/>
              </w:rPr>
              <w:t xml:space="preserve">综合风险与业务影响排序，给出收敛建议并保留台账、导出与审计记录。</w:t>
            </w:r>
          </w:p>
        </w:tc>
      </w:tr>
    </w:tbl>
    <w:p>
      <w:pPr>
        <w:pStyle w:val="Heading2"/>
      </w:pPr>
      <w:r>
        <w:t>3.2 数据接入</w:t>
      </w:r>
    </w:p>
    <w:p>
      <w:pPr>
        <w:pStyle w:val="ListBullet"/>
        <w:spacing w:after="60"/>
      </w:pPr>
      <w:r>
        <w:rPr>
          <w:rFonts w:ascii="Times New Roman" w:hAnsi="Times New Roman" w:eastAsia="宋体"/>
          <w:b w:val="0"/>
          <w:sz w:val="22"/>
        </w:rPr>
        <w:t xml:space="preserve">通过云平台 API 以只读方式接入安全组与网络 ACL 策略，并周期同步策略变更。</w:t>
      </w:r>
    </w:p>
    <w:p>
      <w:pPr>
        <w:pStyle w:val="ListBullet"/>
        <w:spacing w:after="60"/>
      </w:pPr>
      <w:r>
        <w:rPr>
          <w:rFonts w:ascii="Times New Roman" w:hAnsi="Times New Roman" w:eastAsia="宋体"/>
          <w:b w:val="0"/>
          <w:sz w:val="22"/>
        </w:rPr>
        <w:t xml:space="preserve">接入 VPC 流日志，用于策略命中核对、流量趋势分析与访问明细核查。</w:t>
      </w:r>
    </w:p>
    <w:p>
      <w:pPr>
        <w:pStyle w:val="ListBullet"/>
        <w:spacing w:after="60"/>
      </w:pPr>
      <w:r>
        <w:rPr>
          <w:rFonts w:ascii="Times New Roman" w:hAnsi="Times New Roman" w:eastAsia="宋体"/>
          <w:b w:val="0"/>
          <w:sz w:val="22"/>
        </w:rPr>
        <w:t xml:space="preserve">可选对接资产信息库（CMDB），用于实例归属与业务信息检索；不对接不影响核心分析功能。</w:t>
      </w:r>
    </w:p>
    <w:p>
      <w:pPr>
        <w:pStyle w:val="ListBullet"/>
        <w:spacing w:after="60"/>
      </w:pPr>
      <w:r>
        <w:rPr>
          <w:rFonts w:ascii="Times New Roman" w:hAnsi="Times New Roman" w:eastAsia="宋体"/>
          <w:b/>
          <w:color w:val="2B3542"/>
          <w:sz w:val="22"/>
        </w:rPr>
        <w:t xml:space="preserve">接入原则：</w:t>
      </w:r>
      <w:r>
        <w:rPr>
          <w:rFonts w:ascii="Times New Roman" w:hAnsi="Times New Roman" w:eastAsia="宋体"/>
          <w:b w:val="0"/>
          <w:sz w:val="22"/>
        </w:rPr>
        <w:t xml:space="preserve">分析过程只读、不直接改动现网策略，整改动作由用户确认后执行。</w:t>
      </w:r>
    </w:p>
    <w:p>
      <w:pPr>
        <w:pStyle w:val="Heading1"/>
      </w:pPr>
      <w:r>
        <w:t>四、核心能力体系与功能详解</w:t>
      </w:r>
    </w:p>
    <w:p>
      <w:pPr>
        <w:pStyle w:val="Heading2"/>
      </w:pPr>
      <w:r>
        <w:t>4.1 能力全景</w:t>
      </w:r>
    </w:p>
    <w:p>
      <w:pPr>
        <w:spacing w:after="80"/>
        <w:ind w:firstLine="440"/>
      </w:pPr>
      <w:r>
        <w:rPr>
          <w:rFonts w:ascii="Times New Roman" w:hAnsi="Times New Roman" w:eastAsia="宋体"/>
          <w:b w:val="0"/>
          <w:sz w:val="22"/>
        </w:rPr>
        <w:t xml:space="preserve">产品从策略纳管、问题识别、流量验证到整改交付，完整覆盖云策略治理的核心环节，形成六大核心能力：</w:t>
      </w:r>
    </w:p>
    <w:tbl>
      <w:tblPr>
        <w:tblStyle w:val="TableGrid"/>
        <w:tblW w:type="auto" w:w="0"/>
        <w:jc w:val="center"/>
        <w:tblLook w:firstColumn="1" w:firstRow="1" w:lastColumn="0" w:lastRow="0" w:noHBand="0" w:noVBand="1" w:val="04A0"/>
      </w:tblPr>
      <w:tblGrid>
        <w:gridCol w:w="2494"/>
        <w:gridCol w:w="6235"/>
      </w:tblGrid>
      <w:tr>
        <w:tc>
          <w:tcPr>
            <w:tcW w:type="dxa" w:w="2494"/>
            <w:shd w:val="clear" w:fill="2B3542"/>
          </w:tcPr>
          <w:p>
            <w:pPr>
              <w:spacing w:after="40" w:before="40"/>
              <w:jc w:val="center"/>
            </w:pPr>
            <w:r>
              <w:rPr>
                <w:rFonts w:ascii="Times New Roman" w:hAnsi="Times New Roman" w:eastAsia="微软雅黑"/>
                <w:b/>
                <w:color w:val="FFFFFF"/>
                <w:sz w:val="21"/>
              </w:rPr>
              <w:t xml:space="preserve">能力项</w:t>
            </w:r>
          </w:p>
        </w:tc>
        <w:tc>
          <w:tcPr>
            <w:tcW w:type="dxa" w:w="6235"/>
            <w:shd w:val="clear" w:fill="2B3542"/>
          </w:tcPr>
          <w:p>
            <w:pPr>
              <w:spacing w:after="40" w:before="40"/>
              <w:jc w:val="center"/>
            </w:pPr>
            <w:r>
              <w:rPr>
                <w:rFonts w:ascii="Times New Roman" w:hAnsi="Times New Roman" w:eastAsia="微软雅黑"/>
                <w:b/>
                <w:color w:val="FFFFFF"/>
                <w:sz w:val="21"/>
              </w:rPr>
              <w:t xml:space="preserve">能力说明</w:t>
            </w:r>
          </w:p>
        </w:tc>
      </w:tr>
      <w:tr>
        <w:tc>
          <w:tcPr>
            <w:tcW w:type="dxa" w:w="2494"/>
          </w:tcPr>
          <w:p>
            <w:pPr>
              <w:spacing w:after="40" w:before="40"/>
            </w:pPr>
            <w:r>
              <w:rPr>
                <w:rFonts w:ascii="Times New Roman" w:hAnsi="Times New Roman" w:eastAsia="宋体"/>
                <w:b w:val="0"/>
                <w:sz w:val="21"/>
              </w:rPr>
              <w:t xml:space="preserve">01 多云统一纳管</w:t>
            </w:r>
          </w:p>
        </w:tc>
        <w:tc>
          <w:tcPr>
            <w:tcW w:type="dxa" w:w="6235"/>
          </w:tcPr>
          <w:p>
            <w:pPr>
              <w:spacing w:after="40" w:before="40"/>
            </w:pPr>
            <w:r>
              <w:rPr>
                <w:rFonts w:ascii="Times New Roman" w:hAnsi="Times New Roman" w:eastAsia="宋体"/>
                <w:b w:val="0"/>
                <w:sz w:val="21"/>
              </w:rPr>
              <w:t xml:space="preserve">统一查看华为云、阿里云、腾讯云、AWS、Azure 与私有云策略，建立统一策略视图。</w:t>
            </w:r>
          </w:p>
        </w:tc>
      </w:tr>
      <w:tr>
        <w:tc>
          <w:tcPr>
            <w:tcW w:type="dxa" w:w="2494"/>
            <w:shd w:val="clear" w:fill="F2F6F7"/>
          </w:tcPr>
          <w:p>
            <w:pPr>
              <w:spacing w:after="40" w:before="40"/>
            </w:pPr>
            <w:r>
              <w:rPr>
                <w:rFonts w:ascii="Times New Roman" w:hAnsi="Times New Roman" w:eastAsia="宋体"/>
                <w:b w:val="0"/>
                <w:sz w:val="21"/>
              </w:rPr>
              <w:t xml:space="preserve">02 四类问题策略识别</w:t>
            </w:r>
          </w:p>
        </w:tc>
        <w:tc>
          <w:tcPr>
            <w:tcW w:type="dxa" w:w="6235"/>
            <w:shd w:val="clear" w:fill="F2F6F7"/>
          </w:tcPr>
          <w:p>
            <w:pPr>
              <w:spacing w:after="40" w:before="40"/>
            </w:pPr>
            <w:r>
              <w:rPr>
                <w:rFonts w:ascii="Times New Roman" w:hAnsi="Times New Roman" w:eastAsia="宋体"/>
                <w:b w:val="0"/>
                <w:sz w:val="21"/>
              </w:rPr>
              <w:t xml:space="preserve">识别宽泛、未命中、被包含和可合并规则，让风险分布更清楚。</w:t>
            </w:r>
          </w:p>
        </w:tc>
      </w:tr>
      <w:tr>
        <w:tc>
          <w:tcPr>
            <w:tcW w:type="dxa" w:w="2494"/>
          </w:tcPr>
          <w:p>
            <w:pPr>
              <w:spacing w:after="40" w:before="40"/>
            </w:pPr>
            <w:r>
              <w:rPr>
                <w:rFonts w:ascii="Times New Roman" w:hAnsi="Times New Roman" w:eastAsia="宋体"/>
                <w:b w:val="0"/>
                <w:sz w:val="21"/>
              </w:rPr>
              <w:t xml:space="preserve">03 策略与流量缝合</w:t>
            </w:r>
          </w:p>
        </w:tc>
        <w:tc>
          <w:tcPr>
            <w:tcW w:type="dxa" w:w="6235"/>
          </w:tcPr>
          <w:p>
            <w:pPr>
              <w:spacing w:after="40" w:before="40"/>
            </w:pPr>
            <w:r>
              <w:rPr>
                <w:rFonts w:ascii="Times New Roman" w:hAnsi="Times New Roman" w:eastAsia="宋体"/>
                <w:b w:val="0"/>
                <w:sz w:val="21"/>
              </w:rPr>
              <w:t xml:space="preserve">结合流日志核对策略命中与有效性，辅助识别长期无人使用的规则。</w:t>
            </w:r>
          </w:p>
        </w:tc>
      </w:tr>
      <w:tr>
        <w:tc>
          <w:tcPr>
            <w:tcW w:type="dxa" w:w="2494"/>
            <w:shd w:val="clear" w:fill="F2F6F7"/>
          </w:tcPr>
          <w:p>
            <w:pPr>
              <w:spacing w:after="40" w:before="40"/>
            </w:pPr>
            <w:r>
              <w:rPr>
                <w:rFonts w:ascii="Times New Roman" w:hAnsi="Times New Roman" w:eastAsia="宋体"/>
                <w:b w:val="0"/>
                <w:sz w:val="21"/>
              </w:rPr>
              <w:t xml:space="preserve">04 整改优先级清单</w:t>
            </w:r>
          </w:p>
        </w:tc>
        <w:tc>
          <w:tcPr>
            <w:tcW w:type="dxa" w:w="6235"/>
            <w:shd w:val="clear" w:fill="F2F6F7"/>
          </w:tcPr>
          <w:p>
            <w:pPr>
              <w:spacing w:after="40" w:before="40"/>
            </w:pPr>
            <w:r>
              <w:rPr>
                <w:rFonts w:ascii="Times New Roman" w:hAnsi="Times New Roman" w:eastAsia="宋体"/>
                <w:b w:val="0"/>
                <w:sz w:val="21"/>
              </w:rPr>
              <w:t xml:space="preserve">按风险与业务影响排序，形成可执行、可量化、可追踪的收敛建议。</w:t>
            </w:r>
          </w:p>
        </w:tc>
      </w:tr>
      <w:tr>
        <w:tc>
          <w:tcPr>
            <w:tcW w:type="dxa" w:w="2494"/>
          </w:tcPr>
          <w:p>
            <w:pPr>
              <w:spacing w:after="40" w:before="40"/>
            </w:pPr>
            <w:r>
              <w:rPr>
                <w:rFonts w:ascii="Times New Roman" w:hAnsi="Times New Roman" w:eastAsia="宋体"/>
                <w:b w:val="0"/>
                <w:sz w:val="21"/>
              </w:rPr>
              <w:t xml:space="preserve">05 多维态势可视化</w:t>
            </w:r>
          </w:p>
        </w:tc>
        <w:tc>
          <w:tcPr>
            <w:tcW w:type="dxa" w:w="6235"/>
          </w:tcPr>
          <w:p>
            <w:pPr>
              <w:spacing w:after="40" w:before="40"/>
            </w:pPr>
            <w:r>
              <w:rPr>
                <w:rFonts w:ascii="Times New Roman" w:hAnsi="Times New Roman" w:eastAsia="宋体"/>
                <w:b w:val="0"/>
                <w:sz w:val="21"/>
              </w:rPr>
              <w:t xml:space="preserve">集中呈现风险分布、收敛趋势与攻击面变化，便于持续跟踪治理进展。</w:t>
            </w:r>
          </w:p>
        </w:tc>
      </w:tr>
      <w:tr>
        <w:tc>
          <w:tcPr>
            <w:tcW w:type="dxa" w:w="2494"/>
            <w:shd w:val="clear" w:fill="F2F6F7"/>
          </w:tcPr>
          <w:p>
            <w:pPr>
              <w:spacing w:after="40" w:before="40"/>
            </w:pPr>
            <w:r>
              <w:rPr>
                <w:rFonts w:ascii="Times New Roman" w:hAnsi="Times New Roman" w:eastAsia="宋体"/>
                <w:b w:val="0"/>
                <w:sz w:val="21"/>
              </w:rPr>
              <w:t xml:space="preserve">06 审计留痕与导出</w:t>
            </w:r>
          </w:p>
        </w:tc>
        <w:tc>
          <w:tcPr>
            <w:tcW w:type="dxa" w:w="6235"/>
            <w:shd w:val="clear" w:fill="F2F6F7"/>
          </w:tcPr>
          <w:p>
            <w:pPr>
              <w:spacing w:after="40" w:before="40"/>
            </w:pPr>
            <w:r>
              <w:rPr>
                <w:rFonts w:ascii="Times New Roman" w:hAnsi="Times New Roman" w:eastAsia="宋体"/>
                <w:b w:val="0"/>
                <w:sz w:val="21"/>
              </w:rPr>
              <w:t xml:space="preserve">支持策略台账和整改清单导出，保留治理记录以支撑合规审计。</w:t>
            </w:r>
          </w:p>
        </w:tc>
      </w:tr>
    </w:tbl>
    <w:p>
      <w:pPr>
        <w:pStyle w:val="Heading2"/>
      </w:pPr>
      <w:r>
        <w:t>4.2 功能模块详解</w:t>
      </w:r>
    </w:p>
    <w:p>
      <w:pPr>
        <w:spacing w:after="80"/>
        <w:ind w:firstLine="440"/>
      </w:pPr>
      <w:r>
        <w:rPr>
          <w:rFonts w:ascii="Times New Roman" w:hAnsi="Times New Roman" w:eastAsia="宋体"/>
          <w:b w:val="0"/>
          <w:sz w:val="22"/>
        </w:rPr>
        <w:t xml:space="preserve">产品功能按策略总览、策略查询、策略优化、流量与风险核查、整改与报告五大模块组织：</w:t>
      </w:r>
    </w:p>
    <w:p>
      <w:pPr>
        <w:pStyle w:val="Heading3"/>
      </w:pPr>
      <w:r>
        <w:t>4.2.1 策略总览</w:t>
      </w:r>
    </w:p>
    <w:p>
      <w:pPr>
        <w:pStyle w:val="ListBullet"/>
        <w:spacing w:after="60"/>
      </w:pPr>
      <w:r>
        <w:rPr>
          <w:rFonts w:ascii="Times New Roman" w:hAnsi="Times New Roman" w:eastAsia="宋体"/>
          <w:b/>
          <w:color w:val="2B3542"/>
          <w:sz w:val="22"/>
        </w:rPr>
        <w:t xml:space="preserve">治理态势总览：</w:t>
      </w:r>
      <w:r>
        <w:rPr>
          <w:rFonts w:ascii="Times New Roman" w:hAnsi="Times New Roman" w:eastAsia="宋体"/>
          <w:b w:val="0"/>
          <w:sz w:val="22"/>
        </w:rPr>
        <w:t xml:space="preserve">集中呈现各云平台安全组与网络 ACL 的策略规模、宽泛策略、无效策略、无业务策略与重复规则等关键指标，以及平均命中率、平均优化得分等治理度量，帮助管理者持续跟踪治理进展。</w:t>
      </w:r>
    </w:p>
    <w:p>
      <w:pPr>
        <w:pStyle w:val="Heading3"/>
      </w:pPr>
      <w:r>
        <w:t>4.2.2 策略查询</w:t>
      </w:r>
    </w:p>
    <w:p>
      <w:pPr>
        <w:pStyle w:val="ListBullet"/>
        <w:spacing w:after="60"/>
      </w:pPr>
      <w:r>
        <w:rPr>
          <w:rFonts w:ascii="Times New Roman" w:hAnsi="Times New Roman" w:eastAsia="宋体"/>
          <w:b/>
          <w:color w:val="2B3542"/>
          <w:sz w:val="22"/>
        </w:rPr>
        <w:t xml:space="preserve">多云策略查询：</w:t>
      </w:r>
      <w:r>
        <w:rPr>
          <w:rFonts w:ascii="Times New Roman" w:hAnsi="Times New Roman" w:eastAsia="宋体"/>
          <w:b w:val="0"/>
          <w:sz w:val="22"/>
        </w:rPr>
        <w:t xml:space="preserve">集中展示各云平台安全组与网络 ACL 规则，支持按云账号、区域、资源类型、方向、协议、端口、源地址、动作与规则状态等条件检索，并支持地址、端口、协议等字段的组合条件过滤。</w:t>
      </w:r>
    </w:p>
    <w:p>
      <w:pPr>
        <w:pStyle w:val="ListBullet"/>
        <w:spacing w:after="60"/>
      </w:pPr>
      <w:r>
        <w:rPr>
          <w:rFonts w:ascii="Times New Roman" w:hAnsi="Times New Roman" w:eastAsia="宋体"/>
          <w:b/>
          <w:color w:val="2B3542"/>
          <w:sz w:val="22"/>
        </w:rPr>
        <w:t xml:space="preserve">实例关联分析：</w:t>
      </w:r>
      <w:r>
        <w:rPr>
          <w:rFonts w:ascii="Times New Roman" w:hAnsi="Times New Roman" w:eastAsia="宋体"/>
          <w:b w:val="0"/>
          <w:sz w:val="22"/>
        </w:rPr>
        <w:t xml:space="preserve">查看安全组关联的服务器、裸金属、负载均衡（ELB）、NAT 网关、VPN 网关、RDS 等实例，明确每条策略的影响范围。</w:t>
      </w:r>
    </w:p>
    <w:p>
      <w:pPr>
        <w:pStyle w:val="ListBullet"/>
        <w:spacing w:after="60"/>
      </w:pPr>
      <w:r>
        <w:rPr>
          <w:rFonts w:ascii="Times New Roman" w:hAnsi="Times New Roman" w:eastAsia="宋体"/>
          <w:b/>
          <w:color w:val="2B3542"/>
          <w:sz w:val="22"/>
        </w:rPr>
        <w:t xml:space="preserve">规则展示与 ACL 拓扑：</w:t>
      </w:r>
      <w:r>
        <w:rPr>
          <w:rFonts w:ascii="Times New Roman" w:hAnsi="Times New Roman" w:eastAsia="宋体"/>
          <w:b w:val="0"/>
          <w:sz w:val="22"/>
        </w:rPr>
        <w:t xml:space="preserve">还原安全组规则的优先级、状态、方向、动作、协议端口、源地址、描述与修改时间等完整字段，并以拓扑图呈现 VPC 内子网间的访问关系与规则分布。</w:t>
      </w:r>
    </w:p>
    <w:p>
      <w:pPr>
        <w:pStyle w:val="Heading3"/>
      </w:pPr>
      <w:r>
        <w:t>4.2.3 策略优化</w:t>
      </w:r>
    </w:p>
    <w:p>
      <w:pPr>
        <w:pStyle w:val="ListBullet"/>
        <w:spacing w:after="60"/>
      </w:pPr>
      <w:r>
        <w:rPr>
          <w:rFonts w:ascii="Times New Roman" w:hAnsi="Times New Roman" w:eastAsia="宋体"/>
          <w:b/>
          <w:color w:val="2B3542"/>
          <w:sz w:val="22"/>
        </w:rPr>
        <w:t xml:space="preserve">无效策略分析：</w:t>
      </w:r>
      <w:r>
        <w:rPr>
          <w:rFonts w:ascii="Times New Roman" w:hAnsi="Times New Roman" w:eastAsia="宋体"/>
          <w:b w:val="0"/>
          <w:sz w:val="22"/>
        </w:rPr>
        <w:t xml:space="preserve">识别重复、被包含、冲突、停用等无效策略，给出清理或合并建议，并标明策略所属安全组或网络 ACL 及其关联实例。</w:t>
      </w:r>
    </w:p>
    <w:p>
      <w:pPr>
        <w:pStyle w:val="ListBullet"/>
        <w:spacing w:after="60"/>
      </w:pPr>
      <w:r>
        <w:rPr>
          <w:rFonts w:ascii="Times New Roman" w:hAnsi="Times New Roman" w:eastAsia="宋体"/>
          <w:b/>
          <w:color w:val="2B3542"/>
          <w:sz w:val="22"/>
        </w:rPr>
        <w:t xml:space="preserve">宽泛策略收敛：</w:t>
      </w:r>
      <w:r>
        <w:rPr>
          <w:rFonts w:ascii="Times New Roman" w:hAnsi="Times New Roman" w:eastAsia="宋体"/>
          <w:b w:val="0"/>
          <w:sz w:val="22"/>
        </w:rPr>
        <w:t xml:space="preserve">梳理配置范围明显大于实际命中范围的规则，给出需要收敛的地址与端口明细、操作建议与风险说明，支持标记不收敛的例外策略。</w:t>
      </w:r>
    </w:p>
    <w:p>
      <w:pPr>
        <w:pStyle w:val="ListBullet"/>
        <w:spacing w:after="60"/>
      </w:pPr>
      <w:r>
        <w:rPr>
          <w:rFonts w:ascii="Times New Roman" w:hAnsi="Times New Roman" w:eastAsia="宋体"/>
          <w:b/>
          <w:color w:val="2B3542"/>
          <w:sz w:val="22"/>
        </w:rPr>
        <w:t xml:space="preserve">未命中与无业务策略：</w:t>
      </w:r>
      <w:r>
        <w:rPr>
          <w:rFonts w:ascii="Times New Roman" w:hAnsi="Times New Roman" w:eastAsia="宋体"/>
          <w:b w:val="0"/>
          <w:sz w:val="22"/>
        </w:rPr>
        <w:t xml:space="preserve">排查长期无流量命中的未命中策略，以及仅有探测流量而无有效业务数据传输的无业务策略，为业务下线后的策略清理提供依据。</w:t>
      </w:r>
    </w:p>
    <w:p>
      <w:pPr>
        <w:pStyle w:val="ListBullet"/>
        <w:spacing w:after="60"/>
      </w:pPr>
      <w:r>
        <w:rPr>
          <w:rFonts w:ascii="Times New Roman" w:hAnsi="Times New Roman" w:eastAsia="宋体"/>
          <w:b/>
          <w:color w:val="2B3542"/>
          <w:sz w:val="22"/>
        </w:rPr>
        <w:t xml:space="preserve">策略合并建议：</w:t>
      </w:r>
      <w:r>
        <w:rPr>
          <w:rFonts w:ascii="Times New Roman" w:hAnsi="Times New Roman" w:eastAsia="宋体"/>
          <w:b w:val="0"/>
          <w:sz w:val="22"/>
        </w:rPr>
        <w:t xml:space="preserve">识别访问范围高度重叠的可合并策略，给出合并建议与合并预览，辅助策略精简。</w:t>
      </w:r>
    </w:p>
    <w:p>
      <w:pPr>
        <w:pStyle w:val="ListBullet"/>
        <w:spacing w:after="60"/>
      </w:pPr>
      <w:r>
        <w:rPr>
          <w:rFonts w:ascii="Times New Roman" w:hAnsi="Times New Roman" w:eastAsia="宋体"/>
          <w:b/>
          <w:color w:val="2B3542"/>
          <w:sz w:val="22"/>
        </w:rPr>
        <w:t xml:space="preserve">实例安全组优化：</w:t>
      </w:r>
      <w:r>
        <w:rPr>
          <w:rFonts w:ascii="Times New Roman" w:hAnsi="Times New Roman" w:eastAsia="宋体"/>
          <w:b w:val="0"/>
          <w:sz w:val="22"/>
        </w:rPr>
        <w:t xml:space="preserve">从实例视角反查其关联安全组的整体状况，展示安全组优化详情与安全组合并预览，辅助实例粒度的策略精简。</w:t>
      </w:r>
    </w:p>
    <w:p>
      <w:pPr>
        <w:pStyle w:val="Heading3"/>
      </w:pPr>
      <w:r>
        <w:t>4.2.4 流量与风险核查</w:t>
      </w:r>
    </w:p>
    <w:p>
      <w:pPr>
        <w:pStyle w:val="ListBullet"/>
        <w:spacing w:after="60"/>
      </w:pPr>
      <w:r>
        <w:rPr>
          <w:rFonts w:ascii="Times New Roman" w:hAnsi="Times New Roman" w:eastAsia="宋体"/>
          <w:b/>
          <w:color w:val="2B3542"/>
          <w:sz w:val="22"/>
        </w:rPr>
        <w:t xml:space="preserve">流量分析：</w:t>
      </w:r>
      <w:r>
        <w:rPr>
          <w:rFonts w:ascii="Times New Roman" w:hAnsi="Times New Roman" w:eastAsia="宋体"/>
          <w:b w:val="0"/>
          <w:sz w:val="22"/>
        </w:rPr>
        <w:t xml:space="preserve">呈现命中策略的流量趋势与访问明细，按流量分类核对策略命中情况，结合真实访问流量判断策略有效性。</w:t>
      </w:r>
    </w:p>
    <w:p>
      <w:pPr>
        <w:pStyle w:val="ListBullet"/>
        <w:spacing w:after="60"/>
      </w:pPr>
      <w:r>
        <w:rPr>
          <w:rFonts w:ascii="Times New Roman" w:hAnsi="Times New Roman" w:eastAsia="宋体"/>
          <w:b/>
          <w:color w:val="2B3542"/>
          <w:sz w:val="22"/>
        </w:rPr>
        <w:t xml:space="preserve">高危端口核查：</w:t>
      </w:r>
      <w:r>
        <w:rPr>
          <w:rFonts w:ascii="Times New Roman" w:hAnsi="Times New Roman" w:eastAsia="宋体"/>
          <w:b w:val="0"/>
          <w:sz w:val="22"/>
        </w:rPr>
        <w:t xml:space="preserve">基于预定义的高危端口清单，排查策略中开启高危端口的规则，并结合流量明细核查实际访问情况。</w:t>
      </w:r>
    </w:p>
    <w:p>
      <w:pPr>
        <w:pStyle w:val="ListBullet"/>
        <w:spacing w:after="60"/>
      </w:pPr>
      <w:r>
        <w:rPr>
          <w:rFonts w:ascii="Times New Roman" w:hAnsi="Times New Roman" w:eastAsia="宋体"/>
          <w:b/>
          <w:color w:val="2B3542"/>
          <w:sz w:val="22"/>
        </w:rPr>
        <w:t xml:space="preserve">非法尝试统计：</w:t>
      </w:r>
      <w:r>
        <w:rPr>
          <w:rFonts w:ascii="Times New Roman" w:hAnsi="Times New Roman" w:eastAsia="宋体"/>
          <w:b w:val="0"/>
          <w:sz w:val="22"/>
        </w:rPr>
        <w:t xml:space="preserve">统计被安全组明确拒绝的异常访问数据流，辅助发现异常访问行为。</w:t>
      </w:r>
    </w:p>
    <w:p>
      <w:pPr>
        <w:pStyle w:val="Heading3"/>
      </w:pPr>
      <w:r>
        <w:t>4.2.5 整改与报告</w:t>
      </w:r>
    </w:p>
    <w:p>
      <w:pPr>
        <w:pStyle w:val="ListBullet"/>
        <w:spacing w:after="60"/>
      </w:pPr>
      <w:r>
        <w:rPr>
          <w:rFonts w:ascii="Times New Roman" w:hAnsi="Times New Roman" w:eastAsia="宋体"/>
          <w:b/>
          <w:color w:val="2B3542"/>
          <w:sz w:val="22"/>
        </w:rPr>
        <w:t xml:space="preserve">整改优先级清单：</w:t>
      </w:r>
      <w:r>
        <w:rPr>
          <w:rFonts w:ascii="Times New Roman" w:hAnsi="Times New Roman" w:eastAsia="宋体"/>
          <w:b w:val="0"/>
          <w:sz w:val="22"/>
        </w:rPr>
        <w:t xml:space="preserve">按风险与业务影响生成整改优先级清单，综合风险规则识别与流日志验证，优先提示长期暴露但无业务依据的访问范围，收敛建议可执行、可量化、可追踪。</w:t>
      </w:r>
    </w:p>
    <w:p>
      <w:pPr>
        <w:pStyle w:val="ListBullet"/>
        <w:spacing w:after="60"/>
      </w:pPr>
      <w:r>
        <w:rPr>
          <w:rFonts w:ascii="Times New Roman" w:hAnsi="Times New Roman" w:eastAsia="宋体"/>
          <w:b/>
          <w:color w:val="2B3542"/>
          <w:sz w:val="22"/>
        </w:rPr>
        <w:t xml:space="preserve">台账与导出：</w:t>
      </w:r>
      <w:r>
        <w:rPr>
          <w:rFonts w:ascii="Times New Roman" w:hAnsi="Times New Roman" w:eastAsia="宋体"/>
          <w:b w:val="0"/>
          <w:sz w:val="22"/>
        </w:rPr>
        <w:t xml:space="preserve">问题策略的发现、建议、整改与复核记录沉淀为治理台账；策略台账与整改清单支持导出，导出任务与操作记录留痕，支撑复核与合规审计。</w:t>
      </w:r>
    </w:p>
    <w:p>
      <w:pPr>
        <w:pStyle w:val="Heading1"/>
      </w:pPr>
      <w:r>
        <w:t>五、多云平台支持</w:t>
      </w:r>
    </w:p>
    <w:p>
      <w:pPr>
        <w:spacing w:after="80"/>
        <w:ind w:firstLine="440"/>
      </w:pPr>
      <w:r>
        <w:rPr>
          <w:rFonts w:ascii="Times New Roman" w:hAnsi="Times New Roman" w:eastAsia="宋体"/>
          <w:b w:val="0"/>
          <w:sz w:val="22"/>
        </w:rPr>
        <w:t xml:space="preserve">产品通过多云标准适配层统一抽象主流公有云与私有云接口，在同一平台完成策略的查询、分析与治理：</w:t>
      </w:r>
    </w:p>
    <w:tbl>
      <w:tblPr>
        <w:tblStyle w:val="TableGrid"/>
        <w:tblW w:type="auto" w:w="0"/>
        <w:jc w:val="center"/>
        <w:tblLook w:firstColumn="1" w:firstRow="1" w:lastColumn="0" w:lastRow="0" w:noHBand="0" w:noVBand="1" w:val="04A0"/>
      </w:tblPr>
      <w:tblGrid>
        <w:gridCol w:w="2494"/>
        <w:gridCol w:w="6235"/>
      </w:tblGrid>
      <w:tr>
        <w:tc>
          <w:tcPr>
            <w:tcW w:type="dxa" w:w="2494"/>
            <w:shd w:val="clear" w:fill="2B3542"/>
          </w:tcPr>
          <w:p>
            <w:pPr>
              <w:spacing w:after="40" w:before="40"/>
              <w:jc w:val="center"/>
            </w:pPr>
            <w:r>
              <w:rPr>
                <w:rFonts w:ascii="Times New Roman" w:hAnsi="Times New Roman" w:eastAsia="微软雅黑"/>
                <w:b/>
                <w:color w:val="FFFFFF"/>
                <w:sz w:val="21"/>
              </w:rPr>
              <w:t xml:space="preserve">云平台</w:t>
            </w:r>
          </w:p>
        </w:tc>
        <w:tc>
          <w:tcPr>
            <w:tcW w:type="dxa" w:w="6235"/>
            <w:shd w:val="clear" w:fill="2B3542"/>
          </w:tcPr>
          <w:p>
            <w:pPr>
              <w:spacing w:after="40" w:before="40"/>
              <w:jc w:val="center"/>
            </w:pPr>
            <w:r>
              <w:rPr>
                <w:rFonts w:ascii="Times New Roman" w:hAnsi="Times New Roman" w:eastAsia="微软雅黑"/>
                <w:b/>
                <w:color w:val="FFFFFF"/>
                <w:sz w:val="21"/>
              </w:rPr>
              <w:t xml:space="preserve">接入内容</w:t>
            </w:r>
          </w:p>
        </w:tc>
      </w:tr>
      <w:tr>
        <w:tc>
          <w:tcPr>
            <w:tcW w:type="dxa" w:w="2494"/>
          </w:tcPr>
          <w:p>
            <w:pPr>
              <w:spacing w:after="40" w:before="40"/>
            </w:pPr>
            <w:r>
              <w:rPr>
                <w:rFonts w:ascii="Times New Roman" w:hAnsi="Times New Roman" w:eastAsia="宋体"/>
                <w:b w:val="0"/>
                <w:sz w:val="21"/>
              </w:rPr>
              <w:t xml:space="preserve">华为云</w:t>
            </w:r>
          </w:p>
        </w:tc>
        <w:tc>
          <w:tcPr>
            <w:tcW w:type="dxa" w:w="6235"/>
          </w:tcPr>
          <w:p>
            <w:pPr>
              <w:spacing w:after="40" w:before="40"/>
            </w:pPr>
            <w:r>
              <w:rPr>
                <w:rFonts w:ascii="Times New Roman" w:hAnsi="Times New Roman" w:eastAsia="宋体"/>
                <w:b w:val="0"/>
                <w:sz w:val="21"/>
              </w:rPr>
              <w:t xml:space="preserve">安全组、网络 ACL、VPC 流日志（已完成深度适配）</w:t>
            </w:r>
          </w:p>
        </w:tc>
      </w:tr>
      <w:tr>
        <w:tc>
          <w:tcPr>
            <w:tcW w:type="dxa" w:w="2494"/>
            <w:shd w:val="clear" w:fill="F2F6F7"/>
          </w:tcPr>
          <w:p>
            <w:pPr>
              <w:spacing w:after="40" w:before="40"/>
            </w:pPr>
            <w:r>
              <w:rPr>
                <w:rFonts w:ascii="Times New Roman" w:hAnsi="Times New Roman" w:eastAsia="宋体"/>
                <w:b w:val="0"/>
                <w:sz w:val="21"/>
              </w:rPr>
              <w:t xml:space="preserve">阿里云</w:t>
            </w:r>
          </w:p>
        </w:tc>
        <w:tc>
          <w:tcPr>
            <w:tcW w:type="dxa" w:w="6235"/>
            <w:shd w:val="clear" w:fill="F2F6F7"/>
          </w:tcPr>
          <w:p>
            <w:pPr>
              <w:spacing w:after="40" w:before="40"/>
            </w:pPr>
            <w:r>
              <w:rPr>
                <w:rFonts w:ascii="Times New Roman" w:hAnsi="Times New Roman" w:eastAsia="宋体"/>
                <w:b w:val="0"/>
                <w:sz w:val="21"/>
              </w:rPr>
              <w:t xml:space="preserve">安全组与网络 ACL 策略</w:t>
            </w:r>
          </w:p>
        </w:tc>
      </w:tr>
      <w:tr>
        <w:tc>
          <w:tcPr>
            <w:tcW w:type="dxa" w:w="2494"/>
          </w:tcPr>
          <w:p>
            <w:pPr>
              <w:spacing w:after="40" w:before="40"/>
            </w:pPr>
            <w:r>
              <w:rPr>
                <w:rFonts w:ascii="Times New Roman" w:hAnsi="Times New Roman" w:eastAsia="宋体"/>
                <w:b w:val="0"/>
                <w:sz w:val="21"/>
              </w:rPr>
              <w:t xml:space="preserve">腾讯云</w:t>
            </w:r>
          </w:p>
        </w:tc>
        <w:tc>
          <w:tcPr>
            <w:tcW w:type="dxa" w:w="6235"/>
          </w:tcPr>
          <w:p>
            <w:pPr>
              <w:spacing w:after="40" w:before="40"/>
            </w:pPr>
            <w:r>
              <w:rPr>
                <w:rFonts w:ascii="Times New Roman" w:hAnsi="Times New Roman" w:eastAsia="宋体"/>
                <w:b w:val="0"/>
                <w:sz w:val="21"/>
              </w:rPr>
              <w:t xml:space="preserve">安全组与网络 ACL 策略</w:t>
            </w:r>
          </w:p>
        </w:tc>
      </w:tr>
      <w:tr>
        <w:tc>
          <w:tcPr>
            <w:tcW w:type="dxa" w:w="2494"/>
            <w:shd w:val="clear" w:fill="F2F6F7"/>
          </w:tcPr>
          <w:p>
            <w:pPr>
              <w:spacing w:after="40" w:before="40"/>
            </w:pPr>
            <w:r>
              <w:rPr>
                <w:rFonts w:ascii="Times New Roman" w:hAnsi="Times New Roman" w:eastAsia="宋体"/>
                <w:b w:val="0"/>
                <w:sz w:val="21"/>
              </w:rPr>
              <w:t xml:space="preserve">AWS</w:t>
            </w:r>
          </w:p>
        </w:tc>
        <w:tc>
          <w:tcPr>
            <w:tcW w:type="dxa" w:w="6235"/>
            <w:shd w:val="clear" w:fill="F2F6F7"/>
          </w:tcPr>
          <w:p>
            <w:pPr>
              <w:spacing w:after="40" w:before="40"/>
            </w:pPr>
            <w:r>
              <w:rPr>
                <w:rFonts w:ascii="Times New Roman" w:hAnsi="Times New Roman" w:eastAsia="宋体"/>
                <w:b w:val="0"/>
                <w:sz w:val="21"/>
              </w:rPr>
              <w:t xml:space="preserve">Security Group 与网络 ACL 策略</w:t>
            </w:r>
          </w:p>
        </w:tc>
      </w:tr>
      <w:tr>
        <w:tc>
          <w:tcPr>
            <w:tcW w:type="dxa" w:w="2494"/>
          </w:tcPr>
          <w:p>
            <w:pPr>
              <w:spacing w:after="40" w:before="40"/>
            </w:pPr>
            <w:r>
              <w:rPr>
                <w:rFonts w:ascii="Times New Roman" w:hAnsi="Times New Roman" w:eastAsia="宋体"/>
                <w:b w:val="0"/>
                <w:sz w:val="21"/>
              </w:rPr>
              <w:t xml:space="preserve">Azure</w:t>
            </w:r>
          </w:p>
        </w:tc>
        <w:tc>
          <w:tcPr>
            <w:tcW w:type="dxa" w:w="6235"/>
          </w:tcPr>
          <w:p>
            <w:pPr>
              <w:spacing w:after="40" w:before="40"/>
            </w:pPr>
            <w:r>
              <w:rPr>
                <w:rFonts w:ascii="Times New Roman" w:hAnsi="Times New Roman" w:eastAsia="宋体"/>
                <w:b w:val="0"/>
                <w:sz w:val="21"/>
              </w:rPr>
              <w:t xml:space="preserve">网络安全组（NSG）策略</w:t>
            </w:r>
          </w:p>
        </w:tc>
      </w:tr>
      <w:tr>
        <w:tc>
          <w:tcPr>
            <w:tcW w:type="dxa" w:w="2494"/>
            <w:shd w:val="clear" w:fill="F2F6F7"/>
          </w:tcPr>
          <w:p>
            <w:pPr>
              <w:spacing w:after="40" w:before="40"/>
            </w:pPr>
            <w:r>
              <w:rPr>
                <w:rFonts w:ascii="Times New Roman" w:hAnsi="Times New Roman" w:eastAsia="宋体"/>
                <w:b w:val="0"/>
                <w:sz w:val="21"/>
              </w:rPr>
              <w:t xml:space="preserve">私有云</w:t>
            </w:r>
          </w:p>
        </w:tc>
        <w:tc>
          <w:tcPr>
            <w:tcW w:type="dxa" w:w="6235"/>
            <w:shd w:val="clear" w:fill="F2F6F7"/>
          </w:tcPr>
          <w:p>
            <w:pPr>
              <w:spacing w:after="40" w:before="40"/>
            </w:pPr>
            <w:r>
              <w:rPr>
                <w:rFonts w:ascii="Times New Roman" w:hAnsi="Times New Roman" w:eastAsia="宋体"/>
                <w:b w:val="0"/>
                <w:sz w:val="21"/>
              </w:rPr>
              <w:t xml:space="preserve">OpenStack 等私有云安全组策略</w:t>
            </w:r>
          </w:p>
        </w:tc>
      </w:tr>
    </w:tbl>
    <w:p>
      <w:pPr>
        <w:pStyle w:val="Heading1"/>
      </w:pPr>
      <w:r>
        <w:t>六、典型应用场景</w:t>
      </w:r>
    </w:p>
    <w:p>
      <w:pPr>
        <w:spacing w:after="80"/>
        <w:ind w:firstLine="440"/>
      </w:pPr>
      <w:r>
        <w:rPr>
          <w:rFonts w:ascii="Times New Roman" w:hAnsi="Times New Roman" w:eastAsia="宋体"/>
          <w:b w:val="0"/>
          <w:sz w:val="22"/>
        </w:rPr>
        <w:t xml:space="preserve">产品遵循"先统一看清策略现状、再结合流量证据识别问题、最后形成可审计的整改闭环"的治理路径，典型应用场景如下：</w:t>
      </w:r>
    </w:p>
    <w:p>
      <w:pPr>
        <w:pStyle w:val="Heading2"/>
      </w:pPr>
      <w:r>
        <w:t>6.1 重点场景：策略收敛治理</w:t>
      </w:r>
    </w:p>
    <w:p>
      <w:pPr>
        <w:spacing w:after="80"/>
        <w:ind w:firstLine="440"/>
      </w:pPr>
      <w:r>
        <w:rPr>
          <w:rFonts w:ascii="Times New Roman" w:hAnsi="Times New Roman" w:eastAsia="宋体"/>
          <w:b w:val="0"/>
          <w:sz w:val="22"/>
        </w:rPr>
        <w:t xml:space="preserve">安全运营团队依据产品识别的四类问题策略与流日志命中证据，分阶段推进策略收敛：</w:t>
      </w:r>
    </w:p>
    <w:p>
      <w:pPr>
        <w:pStyle w:val="ListBullet"/>
        <w:spacing w:after="60"/>
      </w:pPr>
      <w:r>
        <w:rPr>
          <w:rFonts w:ascii="Times New Roman" w:hAnsi="Times New Roman" w:eastAsia="宋体"/>
          <w:b w:val="0"/>
          <w:sz w:val="22"/>
        </w:rPr>
        <w:t xml:space="preserve">根据规则实际命中的地址与端口确定收敛边界，优先处理任意地址暴露与高危端口规则；</w:t>
      </w:r>
    </w:p>
    <w:p>
      <w:pPr>
        <w:pStyle w:val="ListBullet"/>
        <w:spacing w:after="60"/>
      </w:pPr>
      <w:r>
        <w:rPr>
          <w:rFonts w:ascii="Times New Roman" w:hAnsi="Times New Roman" w:eastAsia="宋体"/>
          <w:b w:val="0"/>
          <w:sz w:val="22"/>
        </w:rPr>
        <w:t xml:space="preserve">对重复、被包含、冲突、停用与可合并策略按建议逐条清理或合并，让安全组回归精简；</w:t>
      </w:r>
    </w:p>
    <w:p>
      <w:pPr>
        <w:pStyle w:val="ListBullet"/>
        <w:spacing w:after="60"/>
      </w:pPr>
      <w:r>
        <w:rPr>
          <w:rFonts w:ascii="Times New Roman" w:hAnsi="Times New Roman" w:eastAsia="宋体"/>
          <w:b w:val="0"/>
          <w:sz w:val="22"/>
        </w:rPr>
        <w:t xml:space="preserve">整改过程与复核记录沉淀为台账并支持导出，形成可审计的治理闭环。</w:t>
      </w:r>
    </w:p>
    <w:p>
      <w:pPr>
        <w:pStyle w:val="Heading2"/>
      </w:pPr>
      <w:r>
        <w:t>6.2 场景实践一览</w:t>
      </w:r>
    </w:p>
    <w:tbl>
      <w:tblPr>
        <w:tblStyle w:val="TableGrid"/>
        <w:tblW w:type="auto" w:w="0"/>
        <w:jc w:val="center"/>
        <w:tblLook w:firstColumn="1" w:firstRow="1" w:lastColumn="0" w:lastRow="0" w:noHBand="0" w:noVBand="1" w:val="04A0"/>
      </w:tblPr>
      <w:tblGrid>
        <w:gridCol w:w="1940"/>
        <w:gridCol w:w="2910"/>
        <w:gridCol w:w="3880"/>
      </w:tblGrid>
      <w:tr>
        <w:tc>
          <w:tcPr>
            <w:tcW w:type="dxa" w:w="1940"/>
            <w:shd w:val="clear" w:fill="2B3542"/>
          </w:tcPr>
          <w:p>
            <w:pPr>
              <w:spacing w:after="40" w:before="40"/>
              <w:jc w:val="center"/>
            </w:pPr>
            <w:r>
              <w:rPr>
                <w:rFonts w:ascii="Times New Roman" w:hAnsi="Times New Roman" w:eastAsia="微软雅黑"/>
                <w:b/>
                <w:color w:val="FFFFFF"/>
                <w:sz w:val="21"/>
              </w:rPr>
              <w:t xml:space="preserve">场景</w:t>
            </w:r>
          </w:p>
        </w:tc>
        <w:tc>
          <w:tcPr>
            <w:tcW w:type="dxa" w:w="2910"/>
            <w:shd w:val="clear" w:fill="2B3542"/>
          </w:tcPr>
          <w:p>
            <w:pPr>
              <w:spacing w:after="40" w:before="40"/>
              <w:jc w:val="center"/>
            </w:pPr>
            <w:r>
              <w:rPr>
                <w:rFonts w:ascii="Times New Roman" w:hAnsi="Times New Roman" w:eastAsia="微软雅黑"/>
                <w:b/>
                <w:color w:val="FFFFFF"/>
                <w:sz w:val="21"/>
              </w:rPr>
              <w:t xml:space="preserve">现场问题</w:t>
            </w:r>
          </w:p>
        </w:tc>
        <w:tc>
          <w:tcPr>
            <w:tcW w:type="dxa" w:w="3880"/>
            <w:shd w:val="clear" w:fill="2B3542"/>
          </w:tcPr>
          <w:p>
            <w:pPr>
              <w:spacing w:after="40" w:before="40"/>
              <w:jc w:val="center"/>
            </w:pPr>
            <w:r>
              <w:rPr>
                <w:rFonts w:ascii="Times New Roman" w:hAnsi="Times New Roman" w:eastAsia="微软雅黑"/>
                <w:b/>
                <w:color w:val="FFFFFF"/>
                <w:sz w:val="21"/>
              </w:rPr>
              <w:t xml:space="preserve">解决方式</w:t>
            </w:r>
          </w:p>
        </w:tc>
      </w:tr>
      <w:tr>
        <w:tc>
          <w:tcPr>
            <w:tcW w:type="dxa" w:w="1940"/>
          </w:tcPr>
          <w:p>
            <w:pPr>
              <w:spacing w:after="40" w:before="40"/>
            </w:pPr>
            <w:r>
              <w:rPr>
                <w:rFonts w:ascii="Times New Roman" w:hAnsi="Times New Roman" w:eastAsia="宋体"/>
                <w:b w:val="0"/>
                <w:sz w:val="21"/>
              </w:rPr>
              <w:t xml:space="preserve">策略收敛治理</w:t>
            </w:r>
          </w:p>
        </w:tc>
        <w:tc>
          <w:tcPr>
            <w:tcW w:type="dxa" w:w="2910"/>
          </w:tcPr>
          <w:p>
            <w:pPr>
              <w:spacing w:after="40" w:before="40"/>
            </w:pPr>
            <w:r>
              <w:rPr>
                <w:rFonts w:ascii="Times New Roman" w:hAnsi="Times New Roman" w:eastAsia="宋体"/>
                <w:b w:val="0"/>
                <w:sz w:val="21"/>
              </w:rPr>
              <w:t xml:space="preserve">宽泛、未命中、被包含和可合并策略长期累积，难以确定清理范围。</w:t>
            </w:r>
          </w:p>
        </w:tc>
        <w:tc>
          <w:tcPr>
            <w:tcW w:type="dxa" w:w="3880"/>
          </w:tcPr>
          <w:p>
            <w:pPr>
              <w:spacing w:after="40" w:before="40"/>
            </w:pPr>
            <w:r>
              <w:rPr>
                <w:rFonts w:ascii="Times New Roman" w:hAnsi="Times New Roman" w:eastAsia="宋体"/>
                <w:b w:val="0"/>
                <w:sz w:val="21"/>
              </w:rPr>
              <w:t xml:space="preserve">依据规则关系与真实命中情况逐步清理冗余配置，让安全组回归精简。</w:t>
            </w:r>
          </w:p>
        </w:tc>
      </w:tr>
      <w:tr>
        <w:tc>
          <w:tcPr>
            <w:tcW w:type="dxa" w:w="1940"/>
            <w:shd w:val="clear" w:fill="F2F6F7"/>
          </w:tcPr>
          <w:p>
            <w:pPr>
              <w:spacing w:after="40" w:before="40"/>
            </w:pPr>
            <w:r>
              <w:rPr>
                <w:rFonts w:ascii="Times New Roman" w:hAnsi="Times New Roman" w:eastAsia="宋体"/>
                <w:b w:val="0"/>
                <w:sz w:val="21"/>
              </w:rPr>
              <w:t xml:space="preserve">攻击面收敛</w:t>
            </w:r>
          </w:p>
        </w:tc>
        <w:tc>
          <w:tcPr>
            <w:tcW w:type="dxa" w:w="2910"/>
            <w:shd w:val="clear" w:fill="F2F6F7"/>
          </w:tcPr>
          <w:p>
            <w:pPr>
              <w:spacing w:after="40" w:before="40"/>
            </w:pPr>
            <w:r>
              <w:rPr>
                <w:rFonts w:ascii="Times New Roman" w:hAnsi="Times New Roman" w:eastAsia="宋体"/>
                <w:b w:val="0"/>
                <w:sz w:val="21"/>
              </w:rPr>
              <w:t xml:space="preserve">高危端口与无效暴露长期存在，缺乏优先处理依据。</w:t>
            </w:r>
          </w:p>
        </w:tc>
        <w:tc>
          <w:tcPr>
            <w:tcW w:type="dxa" w:w="3880"/>
            <w:shd w:val="clear" w:fill="F2F6F7"/>
          </w:tcPr>
          <w:p>
            <w:pPr>
              <w:spacing w:after="40" w:before="40"/>
            </w:pPr>
            <w:r>
              <w:rPr>
                <w:rFonts w:ascii="Times New Roman" w:hAnsi="Times New Roman" w:eastAsia="宋体"/>
                <w:b w:val="0"/>
                <w:sz w:val="21"/>
              </w:rPr>
              <w:t xml:space="preserve">结合风险规则识别与流日志验证，优先处理长期暴露但没有业务依据的访问范围。</w:t>
            </w:r>
          </w:p>
        </w:tc>
      </w:tr>
      <w:tr>
        <w:tc>
          <w:tcPr>
            <w:tcW w:type="dxa" w:w="1940"/>
          </w:tcPr>
          <w:p>
            <w:pPr>
              <w:spacing w:after="40" w:before="40"/>
            </w:pPr>
            <w:r>
              <w:rPr>
                <w:rFonts w:ascii="Times New Roman" w:hAnsi="Times New Roman" w:eastAsia="宋体"/>
                <w:b w:val="0"/>
                <w:sz w:val="21"/>
              </w:rPr>
              <w:t xml:space="preserve">合规审计整改</w:t>
            </w:r>
          </w:p>
        </w:tc>
        <w:tc>
          <w:tcPr>
            <w:tcW w:type="dxa" w:w="2910"/>
          </w:tcPr>
          <w:p>
            <w:pPr>
              <w:spacing w:after="40" w:before="40"/>
            </w:pPr>
            <w:r>
              <w:rPr>
                <w:rFonts w:ascii="Times New Roman" w:hAnsi="Times New Roman" w:eastAsia="宋体"/>
                <w:b w:val="0"/>
                <w:sz w:val="21"/>
              </w:rPr>
              <w:t xml:space="preserve">问题发现、整改与复核缺少连续留痕，审计准备成本高。</w:t>
            </w:r>
          </w:p>
        </w:tc>
        <w:tc>
          <w:tcPr>
            <w:tcW w:type="dxa" w:w="3880"/>
          </w:tcPr>
          <w:p>
            <w:pPr>
              <w:spacing w:after="40" w:before="40"/>
            </w:pPr>
            <w:r>
              <w:rPr>
                <w:rFonts w:ascii="Times New Roman" w:hAnsi="Times New Roman" w:eastAsia="宋体"/>
                <w:b w:val="0"/>
                <w:sz w:val="21"/>
              </w:rPr>
              <w:t xml:space="preserve">输出可导出的整改清单并保留治理轨迹，为等保合规检查提供可核查材料。</w:t>
            </w:r>
          </w:p>
        </w:tc>
      </w:tr>
      <w:tr>
        <w:tc>
          <w:tcPr>
            <w:tcW w:type="dxa" w:w="1940"/>
            <w:shd w:val="clear" w:fill="F2F6F7"/>
          </w:tcPr>
          <w:p>
            <w:pPr>
              <w:spacing w:after="40" w:before="40"/>
            </w:pPr>
            <w:r>
              <w:rPr>
                <w:rFonts w:ascii="Times New Roman" w:hAnsi="Times New Roman" w:eastAsia="宋体"/>
                <w:b w:val="0"/>
                <w:sz w:val="21"/>
              </w:rPr>
              <w:t xml:space="preserve">多云统一治理</w:t>
            </w:r>
          </w:p>
        </w:tc>
        <w:tc>
          <w:tcPr>
            <w:tcW w:type="dxa" w:w="2910"/>
            <w:shd w:val="clear" w:fill="F2F6F7"/>
          </w:tcPr>
          <w:p>
            <w:pPr>
              <w:spacing w:after="40" w:before="40"/>
            </w:pPr>
            <w:r>
              <w:rPr>
                <w:rFonts w:ascii="Times New Roman" w:hAnsi="Times New Roman" w:eastAsia="宋体"/>
                <w:b w:val="0"/>
                <w:sz w:val="21"/>
              </w:rPr>
              <w:t xml:space="preserve">策略分散在不同云平台与账号，口径不一致。</w:t>
            </w:r>
          </w:p>
        </w:tc>
        <w:tc>
          <w:tcPr>
            <w:tcW w:type="dxa" w:w="3880"/>
            <w:shd w:val="clear" w:fill="F2F6F7"/>
          </w:tcPr>
          <w:p>
            <w:pPr>
              <w:spacing w:after="40" w:before="40"/>
            </w:pPr>
            <w:r>
              <w:rPr>
                <w:rFonts w:ascii="Times New Roman" w:hAnsi="Times New Roman" w:eastAsia="宋体"/>
                <w:b w:val="0"/>
                <w:sz w:val="21"/>
              </w:rPr>
              <w:t xml:space="preserve">统一策略口径与问题分类，帮助多云、混合云环境建立一致的治理流程。</w:t>
            </w:r>
          </w:p>
        </w:tc>
      </w:tr>
    </w:tbl>
    <w:p>
      <w:pPr>
        <w:pStyle w:val="Heading1"/>
      </w:pPr>
      <w:r>
        <w:t>七、部署方式与产品使用入门</w:t>
      </w:r>
    </w:p>
    <w:p>
      <w:pPr>
        <w:pStyle w:val="Heading2"/>
      </w:pPr>
      <w:r>
        <w:t>7.1 部署方式</w:t>
      </w:r>
    </w:p>
    <w:p>
      <w:pPr>
        <w:spacing w:after="80"/>
        <w:ind w:firstLine="440"/>
      </w:pPr>
      <w:r>
        <w:rPr>
          <w:rFonts w:ascii="Times New Roman" w:hAnsi="Times New Roman" w:eastAsia="宋体"/>
          <w:b w:val="0"/>
          <w:sz w:val="22"/>
        </w:rPr>
        <w:t xml:space="preserve">产品根据组织的数据边界与运维模式，提供三种部署方式：</w:t>
      </w:r>
    </w:p>
    <w:tbl>
      <w:tblPr>
        <w:tblStyle w:val="TableGrid"/>
        <w:tblW w:type="auto" w:w="0"/>
        <w:jc w:val="center"/>
        <w:tblLook w:firstColumn="1" w:firstRow="1" w:lastColumn="0" w:lastRow="0" w:noHBand="0" w:noVBand="1" w:val="04A0"/>
      </w:tblPr>
      <w:tblGrid>
        <w:gridCol w:w="2494"/>
        <w:gridCol w:w="6235"/>
      </w:tblGrid>
      <w:tr>
        <w:tc>
          <w:tcPr>
            <w:tcW w:type="dxa" w:w="2494"/>
            <w:shd w:val="clear" w:fill="2B3542"/>
          </w:tcPr>
          <w:p>
            <w:pPr>
              <w:spacing w:after="40" w:before="40"/>
              <w:jc w:val="center"/>
            </w:pPr>
            <w:r>
              <w:rPr>
                <w:rFonts w:ascii="Times New Roman" w:hAnsi="Times New Roman" w:eastAsia="微软雅黑"/>
                <w:b/>
                <w:color w:val="FFFFFF"/>
                <w:sz w:val="21"/>
              </w:rPr>
              <w:t xml:space="preserve">部署方式</w:t>
            </w:r>
          </w:p>
        </w:tc>
        <w:tc>
          <w:tcPr>
            <w:tcW w:type="dxa" w:w="6235"/>
            <w:shd w:val="clear" w:fill="2B3542"/>
          </w:tcPr>
          <w:p>
            <w:pPr>
              <w:spacing w:after="40" w:before="40"/>
              <w:jc w:val="center"/>
            </w:pPr>
            <w:r>
              <w:rPr>
                <w:rFonts w:ascii="Times New Roman" w:hAnsi="Times New Roman" w:eastAsia="微软雅黑"/>
                <w:b/>
                <w:color w:val="FFFFFF"/>
                <w:sz w:val="21"/>
              </w:rPr>
              <w:t xml:space="preserve">说明</w:t>
            </w:r>
          </w:p>
        </w:tc>
      </w:tr>
      <w:tr>
        <w:tc>
          <w:tcPr>
            <w:tcW w:type="dxa" w:w="2494"/>
          </w:tcPr>
          <w:p>
            <w:pPr>
              <w:spacing w:after="40" w:before="40"/>
            </w:pPr>
            <w:r>
              <w:rPr>
                <w:rFonts w:ascii="Times New Roman" w:hAnsi="Times New Roman" w:eastAsia="宋体"/>
                <w:b w:val="0"/>
                <w:sz w:val="21"/>
              </w:rPr>
              <w:t xml:space="preserve">公有云 SaaS</w:t>
            </w:r>
          </w:p>
        </w:tc>
        <w:tc>
          <w:tcPr>
            <w:tcW w:type="dxa" w:w="6235"/>
          </w:tcPr>
          <w:p>
            <w:pPr>
              <w:spacing w:after="40" w:before="40"/>
            </w:pPr>
            <w:r>
              <w:rPr>
                <w:rFonts w:ascii="Times New Roman" w:hAnsi="Times New Roman" w:eastAsia="宋体"/>
                <w:b w:val="0"/>
                <w:sz w:val="21"/>
              </w:rPr>
              <w:t xml:space="preserve">控制台云托管，适合希望快速启用统一策略治理能力的团队。</w:t>
            </w:r>
          </w:p>
        </w:tc>
      </w:tr>
      <w:tr>
        <w:tc>
          <w:tcPr>
            <w:tcW w:type="dxa" w:w="2494"/>
            <w:shd w:val="clear" w:fill="F2F6F7"/>
          </w:tcPr>
          <w:p>
            <w:pPr>
              <w:spacing w:after="40" w:before="40"/>
            </w:pPr>
            <w:r>
              <w:rPr>
                <w:rFonts w:ascii="Times New Roman" w:hAnsi="Times New Roman" w:eastAsia="宋体"/>
                <w:b w:val="0"/>
                <w:sz w:val="21"/>
              </w:rPr>
              <w:t xml:space="preserve">私有化部署</w:t>
            </w:r>
          </w:p>
        </w:tc>
        <w:tc>
          <w:tcPr>
            <w:tcW w:type="dxa" w:w="6235"/>
            <w:shd w:val="clear" w:fill="F2F6F7"/>
          </w:tcPr>
          <w:p>
            <w:pPr>
              <w:spacing w:after="40" w:before="40"/>
            </w:pPr>
            <w:r>
              <w:rPr>
                <w:rFonts w:ascii="Times New Roman" w:hAnsi="Times New Roman" w:eastAsia="宋体"/>
                <w:b w:val="0"/>
                <w:sz w:val="21"/>
              </w:rPr>
              <w:t xml:space="preserve">部署在客户私有云或数据中心，数据保留在本地环境，适合对数据边界和本地运维有明确要求的组织。</w:t>
            </w:r>
          </w:p>
        </w:tc>
      </w:tr>
      <w:tr>
        <w:tc>
          <w:tcPr>
            <w:tcW w:type="dxa" w:w="2494"/>
          </w:tcPr>
          <w:p>
            <w:pPr>
              <w:spacing w:after="40" w:before="40"/>
            </w:pPr>
            <w:r>
              <w:rPr>
                <w:rFonts w:ascii="Times New Roman" w:hAnsi="Times New Roman" w:eastAsia="宋体"/>
                <w:b w:val="0"/>
                <w:sz w:val="21"/>
              </w:rPr>
              <w:t xml:space="preserve">混合部署</w:t>
            </w:r>
          </w:p>
        </w:tc>
        <w:tc>
          <w:tcPr>
            <w:tcW w:type="dxa" w:w="6235"/>
          </w:tcPr>
          <w:p>
            <w:pPr>
              <w:spacing w:after="40" w:before="40"/>
            </w:pPr>
            <w:r>
              <w:rPr>
                <w:rFonts w:ascii="Times New Roman" w:hAnsi="Times New Roman" w:eastAsia="宋体"/>
                <w:b w:val="0"/>
                <w:sz w:val="21"/>
              </w:rPr>
              <w:t xml:space="preserve">采集组件分布式接入各云，控制台集中管理，兼顾多环境接入与统一治理。</w:t>
            </w:r>
          </w:p>
        </w:tc>
      </w:tr>
      <w:tr>
        <w:tc>
          <w:tcPr>
            <w:tcW w:type="dxa" w:w="2494"/>
            <w:shd w:val="clear" w:fill="F2F6F7"/>
          </w:tcPr>
          <w:p>
            <w:pPr>
              <w:spacing w:after="40" w:before="40"/>
            </w:pPr>
            <w:r>
              <w:rPr>
                <w:rFonts w:ascii="Times New Roman" w:hAnsi="Times New Roman" w:eastAsia="宋体"/>
                <w:b w:val="0"/>
                <w:sz w:val="21"/>
              </w:rPr>
              <w:t xml:space="preserve">接入原则</w:t>
            </w:r>
          </w:p>
        </w:tc>
        <w:tc>
          <w:tcPr>
            <w:tcW w:type="dxa" w:w="6235"/>
            <w:shd w:val="clear" w:fill="F2F6F7"/>
          </w:tcPr>
          <w:p>
            <w:pPr>
              <w:spacing w:after="40" w:before="40"/>
            </w:pPr>
            <w:r>
              <w:rPr>
                <w:rFonts w:ascii="Times New Roman" w:hAnsi="Times New Roman" w:eastAsia="宋体"/>
                <w:b w:val="0"/>
                <w:sz w:val="21"/>
              </w:rPr>
              <w:t xml:space="preserve">只读接入现网策略，分析过程不直接改动现网配置，整改动作由用户确认后执行。</w:t>
            </w:r>
          </w:p>
        </w:tc>
      </w:tr>
    </w:tbl>
    <w:p>
      <w:pPr>
        <w:pStyle w:val="Heading2"/>
      </w:pPr>
      <w:r>
        <w:t>7.2 平台访问</w:t>
      </w:r>
    </w:p>
    <w:p>
      <w:pPr>
        <w:spacing w:after="80"/>
        <w:ind w:firstLine="440"/>
      </w:pPr>
      <w:r>
        <w:rPr>
          <w:rFonts w:ascii="Times New Roman" w:hAnsi="Times New Roman" w:eastAsia="宋体"/>
          <w:b w:val="0"/>
          <w:sz w:val="22"/>
        </w:rPr>
        <w:t xml:space="preserve">云安全策略分析平台采用 B/S 架构，用户通过浏览器访问平台部署地址，使用由管理员分配的账号登录即可使用。推荐使用 Chrome 等现代浏览器，以获得最佳使用体验。</w:t>
      </w:r>
    </w:p>
    <w:p>
      <w:pPr>
        <w:pStyle w:val="Heading2"/>
      </w:pPr>
      <w:r>
        <w:t>7.3 使用前提</w:t>
      </w:r>
    </w:p>
    <w:tbl>
      <w:tblPr>
        <w:tblStyle w:val="TableGrid"/>
        <w:tblW w:type="auto" w:w="0"/>
        <w:jc w:val="center"/>
        <w:tblLook w:firstColumn="1" w:firstRow="1" w:lastColumn="0" w:lastRow="0" w:noHBand="0" w:noVBand="1" w:val="04A0"/>
      </w:tblPr>
      <w:tblGrid>
        <w:gridCol w:w="1940"/>
        <w:gridCol w:w="4850"/>
        <w:gridCol w:w="1940"/>
      </w:tblGrid>
      <w:tr>
        <w:tc>
          <w:tcPr>
            <w:tcW w:type="dxa" w:w="1940"/>
            <w:shd w:val="clear" w:fill="2B3542"/>
          </w:tcPr>
          <w:p>
            <w:pPr>
              <w:spacing w:after="40" w:before="40"/>
              <w:jc w:val="center"/>
            </w:pPr>
            <w:r>
              <w:rPr>
                <w:rFonts w:ascii="Times New Roman" w:hAnsi="Times New Roman" w:eastAsia="微软雅黑"/>
                <w:b/>
                <w:color w:val="FFFFFF"/>
                <w:sz w:val="21"/>
              </w:rPr>
              <w:t xml:space="preserve">检查项</w:t>
            </w:r>
          </w:p>
        </w:tc>
        <w:tc>
          <w:tcPr>
            <w:tcW w:type="dxa" w:w="4850"/>
            <w:shd w:val="clear" w:fill="2B3542"/>
          </w:tcPr>
          <w:p>
            <w:pPr>
              <w:spacing w:after="40" w:before="40"/>
              <w:jc w:val="center"/>
            </w:pPr>
            <w:r>
              <w:rPr>
                <w:rFonts w:ascii="Times New Roman" w:hAnsi="Times New Roman" w:eastAsia="微软雅黑"/>
                <w:b/>
                <w:color w:val="FFFFFF"/>
                <w:sz w:val="21"/>
              </w:rPr>
              <w:t xml:space="preserve">说明</w:t>
            </w:r>
          </w:p>
        </w:tc>
        <w:tc>
          <w:tcPr>
            <w:tcW w:type="dxa" w:w="1940"/>
            <w:shd w:val="clear" w:fill="2B3542"/>
          </w:tcPr>
          <w:p>
            <w:pPr>
              <w:spacing w:after="40" w:before="40"/>
              <w:jc w:val="center"/>
            </w:pPr>
            <w:r>
              <w:rPr>
                <w:rFonts w:ascii="Times New Roman" w:hAnsi="Times New Roman" w:eastAsia="微软雅黑"/>
                <w:b/>
                <w:color w:val="FFFFFF"/>
                <w:sz w:val="21"/>
              </w:rPr>
              <w:t xml:space="preserve">是否必需</w:t>
            </w:r>
          </w:p>
        </w:tc>
      </w:tr>
      <w:tr>
        <w:tc>
          <w:tcPr>
            <w:tcW w:type="dxa" w:w="1940"/>
          </w:tcPr>
          <w:p>
            <w:pPr>
              <w:spacing w:after="40" w:before="40"/>
            </w:pPr>
            <w:r>
              <w:rPr>
                <w:rFonts w:ascii="Times New Roman" w:hAnsi="Times New Roman" w:eastAsia="宋体"/>
                <w:b w:val="0"/>
                <w:sz w:val="21"/>
              </w:rPr>
              <w:t xml:space="preserve">云账号接入</w:t>
            </w:r>
          </w:p>
        </w:tc>
        <w:tc>
          <w:tcPr>
            <w:tcW w:type="dxa" w:w="4850"/>
          </w:tcPr>
          <w:p>
            <w:pPr>
              <w:spacing w:after="40" w:before="40"/>
            </w:pPr>
            <w:r>
              <w:rPr>
                <w:rFonts w:ascii="Times New Roman" w:hAnsi="Times New Roman" w:eastAsia="宋体"/>
                <w:b w:val="0"/>
                <w:sz w:val="21"/>
              </w:rPr>
              <w:t xml:space="preserve">配置各云平台只读凭证（只读账号或访问密钥），接入安全组与网络 ACL 策略。</w:t>
            </w:r>
          </w:p>
        </w:tc>
        <w:tc>
          <w:tcPr>
            <w:tcW w:type="dxa" w:w="1940"/>
          </w:tcPr>
          <w:p>
            <w:pPr>
              <w:spacing w:after="40" w:before="40"/>
            </w:pPr>
            <w:r>
              <w:rPr>
                <w:rFonts w:ascii="Times New Roman" w:hAnsi="Times New Roman" w:eastAsia="宋体"/>
                <w:b w:val="0"/>
                <w:sz w:val="21"/>
              </w:rPr>
              <w:t xml:space="preserve">必需</w:t>
            </w:r>
          </w:p>
        </w:tc>
      </w:tr>
      <w:tr>
        <w:tc>
          <w:tcPr>
            <w:tcW w:type="dxa" w:w="1940"/>
            <w:shd w:val="clear" w:fill="F2F6F7"/>
          </w:tcPr>
          <w:p>
            <w:pPr>
              <w:spacing w:after="40" w:before="40"/>
            </w:pPr>
            <w:r>
              <w:rPr>
                <w:rFonts w:ascii="Times New Roman" w:hAnsi="Times New Roman" w:eastAsia="宋体"/>
                <w:b w:val="0"/>
                <w:sz w:val="21"/>
              </w:rPr>
              <w:t xml:space="preserve">流日志接入</w:t>
            </w:r>
          </w:p>
        </w:tc>
        <w:tc>
          <w:tcPr>
            <w:tcW w:type="dxa" w:w="4850"/>
            <w:shd w:val="clear" w:fill="F2F6F7"/>
          </w:tcPr>
          <w:p>
            <w:pPr>
              <w:spacing w:after="40" w:before="40"/>
            </w:pPr>
            <w:r>
              <w:rPr>
                <w:rFonts w:ascii="Times New Roman" w:hAnsi="Times New Roman" w:eastAsia="宋体"/>
                <w:b w:val="0"/>
                <w:sz w:val="21"/>
              </w:rPr>
              <w:t xml:space="preserve">开通并接入 VPC 流日志，支撑策略命中核对与流量分析。</w:t>
            </w:r>
          </w:p>
        </w:tc>
        <w:tc>
          <w:tcPr>
            <w:tcW w:type="dxa" w:w="1940"/>
            <w:shd w:val="clear" w:fill="F2F6F7"/>
          </w:tcPr>
          <w:p>
            <w:pPr>
              <w:spacing w:after="40" w:before="40"/>
            </w:pPr>
            <w:r>
              <w:rPr>
                <w:rFonts w:ascii="Times New Roman" w:hAnsi="Times New Roman" w:eastAsia="宋体"/>
                <w:b w:val="0"/>
                <w:sz w:val="21"/>
              </w:rPr>
              <w:t xml:space="preserve">流量相关功能必需</w:t>
            </w:r>
          </w:p>
        </w:tc>
      </w:tr>
      <w:tr>
        <w:tc>
          <w:tcPr>
            <w:tcW w:type="dxa" w:w="1940"/>
          </w:tcPr>
          <w:p>
            <w:pPr>
              <w:spacing w:after="40" w:before="40"/>
            </w:pPr>
            <w:r>
              <w:rPr>
                <w:rFonts w:ascii="Times New Roman" w:hAnsi="Times New Roman" w:eastAsia="宋体"/>
                <w:b w:val="0"/>
                <w:sz w:val="21"/>
              </w:rPr>
              <w:t xml:space="preserve">CMDB 资产库</w:t>
            </w:r>
          </w:p>
        </w:tc>
        <w:tc>
          <w:tcPr>
            <w:tcW w:type="dxa" w:w="4850"/>
          </w:tcPr>
          <w:p>
            <w:pPr>
              <w:spacing w:after="40" w:before="40"/>
            </w:pPr>
            <w:r>
              <w:rPr>
                <w:rFonts w:ascii="Times New Roman" w:hAnsi="Times New Roman" w:eastAsia="宋体"/>
                <w:b w:val="0"/>
                <w:sz w:val="21"/>
              </w:rPr>
              <w:t xml:space="preserve">实例归属与业务信息检索。</w:t>
            </w:r>
          </w:p>
        </w:tc>
        <w:tc>
          <w:tcPr>
            <w:tcW w:type="dxa" w:w="1940"/>
          </w:tcPr>
          <w:p>
            <w:pPr>
              <w:spacing w:after="40" w:before="40"/>
            </w:pPr>
            <w:r>
              <w:rPr>
                <w:rFonts w:ascii="Times New Roman" w:hAnsi="Times New Roman" w:eastAsia="宋体"/>
                <w:b w:val="0"/>
                <w:sz w:val="21"/>
              </w:rPr>
              <w:t xml:space="preserve">可选</w:t>
            </w:r>
          </w:p>
        </w:tc>
      </w:tr>
    </w:tbl>
    <w:p>
      <w:pPr>
        <w:spacing w:after="80"/>
        <w:ind w:firstLine="440"/>
      </w:pPr>
      <w:r>
        <w:rPr>
          <w:rFonts w:ascii="Times New Roman" w:hAnsi="Times New Roman" w:eastAsia="宋体"/>
          <w:b w:val="0"/>
          <w:sz w:val="22"/>
        </w:rPr>
        <w:t xml:space="preserve">产品采用只读接入方式，不影响现有云资源与业务运行。</w:t>
      </w:r>
    </w:p>
    <w:p>
      <w:pPr>
        <w:pStyle w:val="Heading1"/>
      </w:pPr>
      <w:r>
        <w:t>八、术语与指标说明</w:t>
      </w:r>
    </w:p>
    <w:tbl>
      <w:tblPr>
        <w:tblStyle w:val="TableGrid"/>
        <w:tblW w:type="auto" w:w="0"/>
        <w:jc w:val="center"/>
        <w:tblLook w:firstColumn="1" w:firstRow="1" w:lastColumn="0" w:lastRow="0" w:noHBand="0" w:noVBand="1" w:val="04A0"/>
      </w:tblPr>
      <w:tblGrid>
        <w:gridCol w:w="2494"/>
        <w:gridCol w:w="6235"/>
      </w:tblGrid>
      <w:tr>
        <w:tc>
          <w:tcPr>
            <w:tcW w:type="dxa" w:w="2494"/>
            <w:shd w:val="clear" w:fill="2B3542"/>
          </w:tcPr>
          <w:p>
            <w:pPr>
              <w:spacing w:after="40" w:before="40"/>
              <w:jc w:val="center"/>
            </w:pPr>
            <w:r>
              <w:rPr>
                <w:rFonts w:ascii="Times New Roman" w:hAnsi="Times New Roman" w:eastAsia="微软雅黑"/>
                <w:b/>
                <w:color w:val="FFFFFF"/>
                <w:sz w:val="21"/>
              </w:rPr>
              <w:t xml:space="preserve">术语</w:t>
            </w:r>
          </w:p>
        </w:tc>
        <w:tc>
          <w:tcPr>
            <w:tcW w:type="dxa" w:w="6235"/>
            <w:shd w:val="clear" w:fill="2B3542"/>
          </w:tcPr>
          <w:p>
            <w:pPr>
              <w:spacing w:after="40" w:before="40"/>
              <w:jc w:val="center"/>
            </w:pPr>
            <w:r>
              <w:rPr>
                <w:rFonts w:ascii="Times New Roman" w:hAnsi="Times New Roman" w:eastAsia="微软雅黑"/>
                <w:b/>
                <w:color w:val="FFFFFF"/>
                <w:sz w:val="21"/>
              </w:rPr>
              <w:t xml:space="preserve">说明</w:t>
            </w:r>
          </w:p>
        </w:tc>
      </w:tr>
      <w:tr>
        <w:tc>
          <w:tcPr>
            <w:tcW w:type="dxa" w:w="2494"/>
          </w:tcPr>
          <w:p>
            <w:pPr>
              <w:spacing w:after="40" w:before="40"/>
            </w:pPr>
            <w:r>
              <w:rPr>
                <w:rFonts w:ascii="Times New Roman" w:hAnsi="Times New Roman" w:eastAsia="宋体"/>
                <w:b w:val="0"/>
                <w:sz w:val="21"/>
              </w:rPr>
              <w:t xml:space="preserve">安全组</w:t>
            </w:r>
          </w:p>
        </w:tc>
        <w:tc>
          <w:tcPr>
            <w:tcW w:type="dxa" w:w="6235"/>
          </w:tcPr>
          <w:p>
            <w:pPr>
              <w:spacing w:after="40" w:before="40"/>
            </w:pPr>
            <w:r>
              <w:rPr>
                <w:rFonts w:ascii="Times New Roman" w:hAnsi="Times New Roman" w:eastAsia="宋体"/>
                <w:b w:val="0"/>
                <w:sz w:val="21"/>
              </w:rPr>
              <w:t xml:space="preserve">云平台实例级别的虚拟防火墙，用于控制实例的入方向与出方向流量。</w:t>
            </w:r>
          </w:p>
        </w:tc>
      </w:tr>
      <w:tr>
        <w:tc>
          <w:tcPr>
            <w:tcW w:type="dxa" w:w="2494"/>
            <w:shd w:val="clear" w:fill="F2F6F7"/>
          </w:tcPr>
          <w:p>
            <w:pPr>
              <w:spacing w:after="40" w:before="40"/>
            </w:pPr>
            <w:r>
              <w:rPr>
                <w:rFonts w:ascii="Times New Roman" w:hAnsi="Times New Roman" w:eastAsia="宋体"/>
                <w:b w:val="0"/>
                <w:sz w:val="21"/>
              </w:rPr>
              <w:t xml:space="preserve">网络 ACL</w:t>
            </w:r>
          </w:p>
        </w:tc>
        <w:tc>
          <w:tcPr>
            <w:tcW w:type="dxa" w:w="6235"/>
            <w:shd w:val="clear" w:fill="F2F6F7"/>
          </w:tcPr>
          <w:p>
            <w:pPr>
              <w:spacing w:after="40" w:before="40"/>
            </w:pPr>
            <w:r>
              <w:rPr>
                <w:rFonts w:ascii="Times New Roman" w:hAnsi="Times New Roman" w:eastAsia="宋体"/>
                <w:b w:val="0"/>
                <w:sz w:val="21"/>
              </w:rPr>
              <w:t xml:space="preserve">子网级别的访问控制列表，用于控制子网之间以及子网与外部之间的流量。</w:t>
            </w:r>
          </w:p>
        </w:tc>
      </w:tr>
      <w:tr>
        <w:tc>
          <w:tcPr>
            <w:tcW w:type="dxa" w:w="2494"/>
          </w:tcPr>
          <w:p>
            <w:pPr>
              <w:spacing w:after="40" w:before="40"/>
            </w:pPr>
            <w:r>
              <w:rPr>
                <w:rFonts w:ascii="Times New Roman" w:hAnsi="Times New Roman" w:eastAsia="宋体"/>
                <w:b w:val="0"/>
                <w:sz w:val="21"/>
              </w:rPr>
              <w:t xml:space="preserve">流日志</w:t>
            </w:r>
          </w:p>
        </w:tc>
        <w:tc>
          <w:tcPr>
            <w:tcW w:type="dxa" w:w="6235"/>
          </w:tcPr>
          <w:p>
            <w:pPr>
              <w:spacing w:after="40" w:before="40"/>
            </w:pPr>
            <w:r>
              <w:rPr>
                <w:rFonts w:ascii="Times New Roman" w:hAnsi="Times New Roman" w:eastAsia="宋体"/>
                <w:b w:val="0"/>
                <w:sz w:val="21"/>
              </w:rPr>
              <w:t xml:space="preserve">记录 VPC 内网络接口进出流量的日志数据，用于策略命中核对与流量分析。</w:t>
            </w:r>
          </w:p>
        </w:tc>
      </w:tr>
      <w:tr>
        <w:tc>
          <w:tcPr>
            <w:tcW w:type="dxa" w:w="2494"/>
            <w:shd w:val="clear" w:fill="F2F6F7"/>
          </w:tcPr>
          <w:p>
            <w:pPr>
              <w:spacing w:after="40" w:before="40"/>
            </w:pPr>
            <w:r>
              <w:rPr>
                <w:rFonts w:ascii="Times New Roman" w:hAnsi="Times New Roman" w:eastAsia="宋体"/>
                <w:b w:val="0"/>
                <w:sz w:val="21"/>
              </w:rPr>
              <w:t xml:space="preserve">宽泛策略</w:t>
            </w:r>
          </w:p>
        </w:tc>
        <w:tc>
          <w:tcPr>
            <w:tcW w:type="dxa" w:w="6235"/>
            <w:shd w:val="clear" w:fill="F2F6F7"/>
          </w:tcPr>
          <w:p>
            <w:pPr>
              <w:spacing w:after="40" w:before="40"/>
            </w:pPr>
            <w:r>
              <w:rPr>
                <w:rFonts w:ascii="Times New Roman" w:hAnsi="Times New Roman" w:eastAsia="宋体"/>
                <w:b w:val="0"/>
                <w:sz w:val="21"/>
              </w:rPr>
              <w:t xml:space="preserve">源或目的地址、端口配置范围明显大于实际命中范围的策略。</w:t>
            </w:r>
          </w:p>
        </w:tc>
      </w:tr>
      <w:tr>
        <w:tc>
          <w:tcPr>
            <w:tcW w:type="dxa" w:w="2494"/>
          </w:tcPr>
          <w:p>
            <w:pPr>
              <w:spacing w:after="40" w:before="40"/>
            </w:pPr>
            <w:r>
              <w:rPr>
                <w:rFonts w:ascii="Times New Roman" w:hAnsi="Times New Roman" w:eastAsia="宋体"/>
                <w:b w:val="0"/>
                <w:sz w:val="21"/>
              </w:rPr>
              <w:t xml:space="preserve">未命中策略</w:t>
            </w:r>
          </w:p>
        </w:tc>
        <w:tc>
          <w:tcPr>
            <w:tcW w:type="dxa" w:w="6235"/>
          </w:tcPr>
          <w:p>
            <w:pPr>
              <w:spacing w:after="40" w:before="40"/>
            </w:pPr>
            <w:r>
              <w:rPr>
                <w:rFonts w:ascii="Times New Roman" w:hAnsi="Times New Roman" w:eastAsia="宋体"/>
                <w:b w:val="0"/>
                <w:sz w:val="21"/>
              </w:rPr>
              <w:t xml:space="preserve">在选定时间段内长期没有流量命中的策略。</w:t>
            </w:r>
          </w:p>
        </w:tc>
      </w:tr>
      <w:tr>
        <w:tc>
          <w:tcPr>
            <w:tcW w:type="dxa" w:w="2494"/>
            <w:shd w:val="clear" w:fill="F2F6F7"/>
          </w:tcPr>
          <w:p>
            <w:pPr>
              <w:spacing w:after="40" w:before="40"/>
            </w:pPr>
            <w:r>
              <w:rPr>
                <w:rFonts w:ascii="Times New Roman" w:hAnsi="Times New Roman" w:eastAsia="宋体"/>
                <w:b w:val="0"/>
                <w:sz w:val="21"/>
              </w:rPr>
              <w:t xml:space="preserve">被包含策略</w:t>
            </w:r>
          </w:p>
        </w:tc>
        <w:tc>
          <w:tcPr>
            <w:tcW w:type="dxa" w:w="6235"/>
            <w:shd w:val="clear" w:fill="F2F6F7"/>
          </w:tcPr>
          <w:p>
            <w:pPr>
              <w:spacing w:after="40" w:before="40"/>
            </w:pPr>
            <w:r>
              <w:rPr>
                <w:rFonts w:ascii="Times New Roman" w:hAnsi="Times New Roman" w:eastAsia="宋体"/>
                <w:b w:val="0"/>
                <w:sz w:val="21"/>
              </w:rPr>
              <w:t xml:space="preserve">访问范围被其他策略完全覆盖、自身不会被命中的策略。</w:t>
            </w:r>
          </w:p>
        </w:tc>
      </w:tr>
      <w:tr>
        <w:tc>
          <w:tcPr>
            <w:tcW w:type="dxa" w:w="2494"/>
          </w:tcPr>
          <w:p>
            <w:pPr>
              <w:spacing w:after="40" w:before="40"/>
            </w:pPr>
            <w:r>
              <w:rPr>
                <w:rFonts w:ascii="Times New Roman" w:hAnsi="Times New Roman" w:eastAsia="宋体"/>
                <w:b w:val="0"/>
                <w:sz w:val="21"/>
              </w:rPr>
              <w:t xml:space="preserve">可合并策略</w:t>
            </w:r>
          </w:p>
        </w:tc>
        <w:tc>
          <w:tcPr>
            <w:tcW w:type="dxa" w:w="6235"/>
          </w:tcPr>
          <w:p>
            <w:pPr>
              <w:spacing w:after="40" w:before="40"/>
            </w:pPr>
            <w:r>
              <w:rPr>
                <w:rFonts w:ascii="Times New Roman" w:hAnsi="Times New Roman" w:eastAsia="宋体"/>
                <w:b w:val="0"/>
                <w:sz w:val="21"/>
              </w:rPr>
              <w:t xml:space="preserve">访问范围高度重叠、可合并为一条规则以减少策略数量的策略。</w:t>
            </w:r>
          </w:p>
        </w:tc>
      </w:tr>
      <w:tr>
        <w:tc>
          <w:tcPr>
            <w:tcW w:type="dxa" w:w="2494"/>
            <w:shd w:val="clear" w:fill="F2F6F7"/>
          </w:tcPr>
          <w:p>
            <w:pPr>
              <w:spacing w:after="40" w:before="40"/>
            </w:pPr>
            <w:r>
              <w:rPr>
                <w:rFonts w:ascii="Times New Roman" w:hAnsi="Times New Roman" w:eastAsia="宋体"/>
                <w:b w:val="0"/>
                <w:sz w:val="21"/>
              </w:rPr>
              <w:t xml:space="preserve">无效策略</w:t>
            </w:r>
          </w:p>
        </w:tc>
        <w:tc>
          <w:tcPr>
            <w:tcW w:type="dxa" w:w="6235"/>
            <w:shd w:val="clear" w:fill="F2F6F7"/>
          </w:tcPr>
          <w:p>
            <w:pPr>
              <w:spacing w:after="40" w:before="40"/>
            </w:pPr>
            <w:r>
              <w:rPr>
                <w:rFonts w:ascii="Times New Roman" w:hAnsi="Times New Roman" w:eastAsia="宋体"/>
                <w:b w:val="0"/>
                <w:sz w:val="21"/>
              </w:rPr>
              <w:t xml:space="preserve">冗余或永远不会命中的策略，包括重复、被包含、停用、冲突等类型。</w:t>
            </w:r>
          </w:p>
        </w:tc>
      </w:tr>
      <w:tr>
        <w:tc>
          <w:tcPr>
            <w:tcW w:type="dxa" w:w="2494"/>
          </w:tcPr>
          <w:p>
            <w:pPr>
              <w:spacing w:after="40" w:before="40"/>
            </w:pPr>
            <w:r>
              <w:rPr>
                <w:rFonts w:ascii="Times New Roman" w:hAnsi="Times New Roman" w:eastAsia="宋体"/>
                <w:b w:val="0"/>
                <w:sz w:val="21"/>
              </w:rPr>
              <w:t xml:space="preserve">攻击面</w:t>
            </w:r>
          </w:p>
        </w:tc>
        <w:tc>
          <w:tcPr>
            <w:tcW w:type="dxa" w:w="6235"/>
          </w:tcPr>
          <w:p>
            <w:pPr>
              <w:spacing w:after="40" w:before="40"/>
            </w:pPr>
            <w:r>
              <w:rPr>
                <w:rFonts w:ascii="Times New Roman" w:hAnsi="Times New Roman" w:eastAsia="宋体"/>
                <w:b w:val="0"/>
                <w:sz w:val="21"/>
              </w:rPr>
              <w:t xml:space="preserve">云上资源可被外部访问的暴露范围，包括地址范围与端口暴露。</w:t>
            </w:r>
          </w:p>
        </w:tc>
      </w:tr>
      <w:tr>
        <w:tc>
          <w:tcPr>
            <w:tcW w:type="dxa" w:w="2494"/>
            <w:shd w:val="clear" w:fill="F2F6F7"/>
          </w:tcPr>
          <w:p>
            <w:pPr>
              <w:spacing w:after="40" w:before="40"/>
            </w:pPr>
            <w:r>
              <w:rPr>
                <w:rFonts w:ascii="Times New Roman" w:hAnsi="Times New Roman" w:eastAsia="宋体"/>
                <w:b w:val="0"/>
                <w:sz w:val="21"/>
              </w:rPr>
              <w:t xml:space="preserve">整改台账</w:t>
            </w:r>
          </w:p>
        </w:tc>
        <w:tc>
          <w:tcPr>
            <w:tcW w:type="dxa" w:w="6235"/>
            <w:shd w:val="clear" w:fill="F2F6F7"/>
          </w:tcPr>
          <w:p>
            <w:pPr>
              <w:spacing w:after="40" w:before="40"/>
            </w:pPr>
            <w:r>
              <w:rPr>
                <w:rFonts w:ascii="Times New Roman" w:hAnsi="Times New Roman" w:eastAsia="宋体"/>
                <w:b w:val="0"/>
                <w:sz w:val="21"/>
              </w:rPr>
              <w:t xml:space="preserve">问题策略从发现、建议、整改到复核的连续治理记录。</w:t>
            </w:r>
          </w:p>
        </w:tc>
      </w:tr>
    </w:tbl>
    <w:p>
      <w:pPr>
        <w:pStyle w:val="Heading1"/>
      </w:pPr>
      <w:r>
        <w:t>九、关于智维数据</w:t>
      </w:r>
    </w:p>
    <w:p>
      <w:pPr>
        <w:spacing w:after="80"/>
        <w:ind w:firstLine="440"/>
      </w:pPr>
      <w:r>
        <w:rPr>
          <w:rFonts w:ascii="Times New Roman" w:hAnsi="Times New Roman" w:eastAsia="宋体"/>
          <w:b w:val="0"/>
          <w:sz w:val="22"/>
        </w:rPr>
        <w:t xml:space="preserve">北京智维盈讯网络科技有限公司（简称"智维数据"）是一家企业级 AI 产品与智能化运营技术公司，秉持"智维 AI · 无限可能"的理念，致力于以数据与智能技术提升网络与安全管理水平。</w:t>
      </w:r>
    </w:p>
    <w:p>
      <w:pPr>
        <w:spacing w:after="80"/>
        <w:ind w:firstLine="440"/>
      </w:pPr>
      <w:r>
        <w:rPr>
          <w:rFonts w:ascii="Times New Roman" w:hAnsi="Times New Roman" w:eastAsia="宋体"/>
          <w:b w:val="0"/>
          <w:sz w:val="22"/>
        </w:rPr>
        <w:t xml:space="preserve">云安全策略分析平台作为公司多云安全策略治理体系的核心产品之一，与 NFM 防火墙策略分析平台共同覆盖云上与云下的策略治理场景，帮助用户实现安全策略从"看不清、不敢动"到"有证据、可治理"的转变，构建持续、合规、可度量的策略治理体系。</w:t>
      </w:r>
    </w:p>
    <w:p>
      <w:pPr>
        <w:spacing w:after="80"/>
        <w:ind w:firstLine="440"/>
      </w:pPr>
      <w:r>
        <w:rPr>
          <w:rFonts w:ascii="Times New Roman" w:hAnsi="Times New Roman" w:eastAsia="宋体"/>
          <w:b w:val="0"/>
          <w:sz w:val="22"/>
        </w:rPr>
        <w:t xml:space="preserve">如需预约产品演示或了解更多产品详情，欢迎通过以下方式联系我们：</w:t>
      </w:r>
    </w:p>
    <w:p>
      <w:pPr>
        <w:pStyle w:val="ListBullet"/>
        <w:spacing w:after="60"/>
      </w:pPr>
      <w:r>
        <w:rPr>
          <w:rFonts w:ascii="Times New Roman" w:hAnsi="Times New Roman" w:eastAsia="宋体"/>
          <w:b w:val="0"/>
          <w:sz w:val="22"/>
        </w:rPr>
        <w:t xml:space="preserve">官方网站：www.ncmps.com</w:t>
      </w:r>
    </w:p>
    <w:p>
      <w:pPr>
        <w:pStyle w:val="ListBullet"/>
        <w:spacing w:after="60"/>
      </w:pPr>
      <w:r>
        <w:rPr>
          <w:rFonts w:ascii="Times New Roman" w:hAnsi="Times New Roman" w:eastAsia="宋体"/>
          <w:b w:val="0"/>
          <w:sz w:val="22"/>
        </w:rPr>
        <w:t xml:space="preserve">服务热线：400-666-8216</w:t>
      </w:r>
    </w:p>
    <w:sectPr w:rsidR="00FC693F" w:rsidRPr="0006063C" w:rsidSect="00034616">
      <w:headerReference w:type="default" r:id="rId9"/>
      <w:footerReference w:type="default" r:id="rId10"/>
      <w:pgSz w:w="11906" w:h="16838"/>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微软雅黑"/>
        <w:b w:val="0"/>
        <w:color w:val="595959"/>
        <w:sz w:val="16"/>
      </w:rPr>
      <w:t xml:space="preserve">北京智维盈讯网络科技有限公司（智维数据） · www.ncmps.com · 400-666-8216    第 </w:t>
    </w:r>
    <w:r>
      <w:rPr>
        <w:rFonts w:ascii="Times New Roman" w:hAnsi="Times New Roman" w:eastAsia="宋体"/>
        <w:b w:val="0"/>
        <w:color w:val="595959"/>
        <w:sz w:val="16"/>
      </w:rPr>
      <w:fldChar w:fldCharType="begin"/>
      <w:instrText xml:space="preserve">PAGE</w:instrText>
      <w:fldChar w:fldCharType="end"/>
    </w:r>
    <w:r>
      <w:rPr>
        <w:rFonts w:ascii="Times New Roman" w:hAnsi="Times New Roman" w:eastAsia="微软雅黑"/>
        <w:b w:val="0"/>
        <w:color w:val="595959"/>
        <w:sz w:val="16"/>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微软雅黑"/>
        <w:b w:val="0"/>
        <w:color w:val="595959"/>
        <w:sz w:val="16"/>
      </w:rPr>
      <w:t>云安全策略分析平台 · 用户白皮书</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80"/>
    </w:pPr>
    <w:rPr>
      <w:rFonts w:ascii="Times New Roman" w:hAnsi="Times New Roma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40" w:line="288" w:lineRule="auto"/>
      <w:outlineLvl w:val="0"/>
    </w:pPr>
    <w:rPr>
      <w:rFonts w:asciiTheme="majorHAnsi" w:eastAsiaTheme="majorEastAsia" w:hAnsiTheme="majorHAnsi" w:cstheme="majorBidi" w:ascii="Arial" w:hAnsi="Arial" w:eastAsia="微软雅黑"/>
      <w:b/>
      <w:bCs/>
      <w:color w:val="2B3542"/>
      <w:sz w:val="34"/>
      <w:szCs w:val="28"/>
    </w:rPr>
  </w:style>
  <w:style w:type="paragraph" w:styleId="Heading2">
    <w:name w:val="heading 2"/>
    <w:basedOn w:val="Normal"/>
    <w:next w:val="Normal"/>
    <w:link w:val="Heading2Char"/>
    <w:uiPriority w:val="9"/>
    <w:unhideWhenUsed/>
    <w:qFormat/>
    <w:rsid w:val="00FC693F"/>
    <w:pPr>
      <w:keepNext/>
      <w:keepLines/>
      <w:spacing w:before="280" w:after="160" w:line="288" w:lineRule="auto"/>
      <w:outlineLvl w:val="1"/>
    </w:pPr>
    <w:rPr>
      <w:rFonts w:asciiTheme="majorHAnsi" w:eastAsiaTheme="majorEastAsia" w:hAnsiTheme="majorHAnsi" w:cstheme="majorBidi" w:ascii="Arial" w:hAnsi="Arial" w:eastAsia="微软雅黑"/>
      <w:b/>
      <w:bCs/>
      <w:color w:val="2B3542"/>
      <w:sz w:val="28"/>
      <w:szCs w:val="26"/>
    </w:rPr>
  </w:style>
  <w:style w:type="paragraph" w:styleId="Heading3">
    <w:name w:val="heading 3"/>
    <w:basedOn w:val="Normal"/>
    <w:next w:val="Normal"/>
    <w:link w:val="Heading3Char"/>
    <w:uiPriority w:val="9"/>
    <w:unhideWhenUsed/>
    <w:qFormat/>
    <w:rsid w:val="00FC693F"/>
    <w:pPr>
      <w:keepNext/>
      <w:keepLines/>
      <w:spacing w:before="280" w:after="160" w:line="288" w:lineRule="auto"/>
      <w:outlineLvl w:val="2"/>
    </w:pPr>
    <w:rPr>
      <w:rFonts w:asciiTheme="majorHAnsi" w:eastAsiaTheme="majorEastAsia" w:hAnsiTheme="majorHAnsi" w:cstheme="majorBidi" w:ascii="Arial" w:hAnsi="Arial" w:eastAsia="微软雅黑"/>
      <w:b/>
      <w:bCs/>
      <w:color w:val="1B9EA8"/>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云安全策略分析平台用户白皮书</dc:title>
  <dc:subject>云安全策略分析平台白皮书</dc:subject>
  <dc:creator>智维数据（北京智维盈讯网络科技有限公司）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